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1F7E1">
      <w:pPr>
        <w:spacing w:line="360" w:lineRule="auto"/>
        <w:jc w:val="center"/>
        <w:rPr>
          <w:rFonts w:ascii="宋体" w:cs="Times New Roman"/>
          <w:b/>
          <w:bCs/>
          <w:sz w:val="36"/>
          <w:szCs w:val="36"/>
        </w:rPr>
      </w:pPr>
      <w:bookmarkStart w:id="0" w:name="_GoBack"/>
      <w:r>
        <w:rPr>
          <w:rFonts w:hint="eastAsia" w:ascii="宋体" w:hAnsi="宋体" w:cs="宋体"/>
          <w:b/>
          <w:bCs/>
          <w:sz w:val="36"/>
          <w:szCs w:val="36"/>
        </w:rPr>
        <w:t>成人助听器项目需求书</w:t>
      </w:r>
    </w:p>
    <w:bookmarkEnd w:id="0"/>
    <w:p w14:paraId="42B9AB27">
      <w:pPr>
        <w:pStyle w:val="12"/>
        <w:numPr>
          <w:ilvl w:val="0"/>
          <w:numId w:val="1"/>
        </w:numPr>
        <w:spacing w:line="360" w:lineRule="auto"/>
        <w:ind w:firstLineChars="0"/>
        <w:rPr>
          <w:rFonts w:ascii="宋体" w:hAnsi="宋体" w:cs="宋体"/>
          <w:sz w:val="24"/>
          <w:szCs w:val="24"/>
        </w:rPr>
      </w:pPr>
      <w:r>
        <w:rPr>
          <w:rFonts w:hint="eastAsia" w:ascii="宋体" w:hAnsi="宋体" w:cs="宋体"/>
          <w:sz w:val="24"/>
          <w:szCs w:val="24"/>
        </w:rPr>
        <w:t>项目背景</w:t>
      </w:r>
    </w:p>
    <w:p w14:paraId="56625D85">
      <w:pPr>
        <w:spacing w:line="360" w:lineRule="auto"/>
        <w:rPr>
          <w:rFonts w:ascii="宋体" w:cs="Times New Roman"/>
          <w:sz w:val="24"/>
          <w:szCs w:val="24"/>
        </w:rPr>
      </w:pPr>
      <w:r>
        <w:rPr>
          <w:rFonts w:hint="eastAsia" w:ascii="宋体" w:hAnsi="宋体" w:cs="宋体"/>
          <w:sz w:val="24"/>
          <w:szCs w:val="24"/>
        </w:rPr>
        <w:t>二、商务需求</w:t>
      </w:r>
    </w:p>
    <w:tbl>
      <w:tblPr>
        <w:tblStyle w:val="7"/>
        <w:tblW w:w="14174" w:type="dxa"/>
        <w:jc w:val="center"/>
        <w:tblLayout w:type="fixed"/>
        <w:tblCellMar>
          <w:top w:w="0" w:type="dxa"/>
          <w:left w:w="108" w:type="dxa"/>
          <w:bottom w:w="0" w:type="dxa"/>
          <w:right w:w="108" w:type="dxa"/>
        </w:tblCellMar>
      </w:tblPr>
      <w:tblGrid>
        <w:gridCol w:w="817"/>
        <w:gridCol w:w="9278"/>
        <w:gridCol w:w="1041"/>
        <w:gridCol w:w="3038"/>
      </w:tblGrid>
      <w:tr w14:paraId="2ADAC7E7">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05F0A6A5">
            <w:pPr>
              <w:widowControl/>
              <w:jc w:val="center"/>
              <w:rPr>
                <w:rFonts w:ascii="宋体" w:cs="宋体"/>
                <w:color w:val="000000"/>
                <w:kern w:val="0"/>
                <w:sz w:val="24"/>
                <w:szCs w:val="24"/>
              </w:rPr>
            </w:pPr>
            <w:r>
              <w:rPr>
                <w:rFonts w:hint="eastAsia" w:ascii="宋体" w:hAnsi="宋体" w:cs="宋体"/>
                <w:color w:val="000000"/>
                <w:kern w:val="0"/>
                <w:sz w:val="24"/>
                <w:szCs w:val="24"/>
              </w:rPr>
              <w:t>序号</w:t>
            </w:r>
          </w:p>
        </w:tc>
        <w:tc>
          <w:tcPr>
            <w:tcW w:w="9278" w:type="dxa"/>
            <w:tcBorders>
              <w:top w:val="single" w:color="auto" w:sz="8" w:space="0"/>
              <w:left w:val="nil"/>
              <w:bottom w:val="single" w:color="auto" w:sz="8" w:space="0"/>
              <w:right w:val="single" w:color="auto" w:sz="8" w:space="0"/>
            </w:tcBorders>
            <w:vAlign w:val="center"/>
          </w:tcPr>
          <w:p w14:paraId="199C9550">
            <w:pPr>
              <w:widowControl/>
              <w:jc w:val="center"/>
              <w:rPr>
                <w:rFonts w:ascii="宋体" w:cs="宋体"/>
                <w:color w:val="000000"/>
                <w:kern w:val="0"/>
                <w:sz w:val="24"/>
                <w:szCs w:val="24"/>
              </w:rPr>
            </w:pPr>
            <w:r>
              <w:rPr>
                <w:rFonts w:hint="eastAsia" w:ascii="宋体" w:hAnsi="宋体" w:cs="宋体"/>
                <w:color w:val="000000"/>
                <w:kern w:val="0"/>
                <w:sz w:val="24"/>
                <w:szCs w:val="24"/>
              </w:rPr>
              <w:t>需求条款</w:t>
            </w:r>
          </w:p>
        </w:tc>
        <w:tc>
          <w:tcPr>
            <w:tcW w:w="1041" w:type="dxa"/>
            <w:tcBorders>
              <w:top w:val="single" w:color="auto" w:sz="8" w:space="0"/>
              <w:left w:val="nil"/>
              <w:bottom w:val="single" w:color="auto" w:sz="8" w:space="0"/>
              <w:right w:val="single" w:color="auto" w:sz="8" w:space="0"/>
            </w:tcBorders>
            <w:vAlign w:val="center"/>
          </w:tcPr>
          <w:p w14:paraId="42D0AEEB">
            <w:pPr>
              <w:widowControl/>
              <w:jc w:val="center"/>
              <w:rPr>
                <w:rFonts w:ascii="宋体" w:cs="宋体"/>
                <w:color w:val="000000"/>
                <w:kern w:val="0"/>
                <w:sz w:val="24"/>
                <w:szCs w:val="24"/>
              </w:rPr>
            </w:pPr>
            <w:r>
              <w:rPr>
                <w:rFonts w:hint="eastAsia" w:ascii="宋体" w:hAnsi="宋体" w:cs="宋体"/>
                <w:color w:val="000000"/>
                <w:kern w:val="0"/>
                <w:sz w:val="24"/>
                <w:szCs w:val="24"/>
              </w:rPr>
              <w:t>是否为实质性条款</w:t>
            </w:r>
          </w:p>
        </w:tc>
        <w:tc>
          <w:tcPr>
            <w:tcW w:w="3038" w:type="dxa"/>
            <w:tcBorders>
              <w:top w:val="single" w:color="auto" w:sz="8" w:space="0"/>
              <w:left w:val="nil"/>
              <w:bottom w:val="single" w:color="auto" w:sz="8" w:space="0"/>
              <w:right w:val="single" w:color="auto" w:sz="8" w:space="0"/>
            </w:tcBorders>
            <w:vAlign w:val="center"/>
          </w:tcPr>
          <w:p w14:paraId="30E2F63A">
            <w:pPr>
              <w:widowControl/>
              <w:jc w:val="center"/>
              <w:rPr>
                <w:rFonts w:ascii="宋体" w:cs="宋体"/>
                <w:color w:val="000000"/>
                <w:kern w:val="0"/>
                <w:sz w:val="24"/>
                <w:szCs w:val="24"/>
              </w:rPr>
            </w:pPr>
            <w:r>
              <w:rPr>
                <w:rFonts w:hint="eastAsia" w:ascii="宋体" w:hAnsi="宋体" w:cs="宋体"/>
                <w:color w:val="000000"/>
                <w:kern w:val="0"/>
                <w:sz w:val="24"/>
                <w:szCs w:val="24"/>
              </w:rPr>
              <w:t>原因说明（实质性条款需列明原因）</w:t>
            </w:r>
          </w:p>
        </w:tc>
      </w:tr>
      <w:tr w14:paraId="30920789">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3F5A3847">
            <w:pPr>
              <w:pStyle w:val="12"/>
              <w:widowControl/>
              <w:numPr>
                <w:ilvl w:val="0"/>
                <w:numId w:val="2"/>
              </w:numPr>
              <w:ind w:firstLineChars="0"/>
              <w:jc w:val="center"/>
              <w:rPr>
                <w:rFonts w:ascii="宋体" w:hAnsi="宋体" w:cs="宋体"/>
                <w:color w:val="000000"/>
                <w:kern w:val="0"/>
                <w:sz w:val="24"/>
                <w:szCs w:val="24"/>
              </w:rPr>
            </w:pPr>
          </w:p>
        </w:tc>
        <w:tc>
          <w:tcPr>
            <w:tcW w:w="9278" w:type="dxa"/>
            <w:tcBorders>
              <w:top w:val="single" w:color="auto" w:sz="8" w:space="0"/>
              <w:left w:val="nil"/>
              <w:bottom w:val="single" w:color="auto" w:sz="8" w:space="0"/>
              <w:right w:val="single" w:color="auto" w:sz="8" w:space="0"/>
            </w:tcBorders>
            <w:vAlign w:val="center"/>
          </w:tcPr>
          <w:p w14:paraId="169ECF46">
            <w:pPr>
              <w:widowControl/>
              <w:rPr>
                <w:rFonts w:ascii="宋体" w:cs="宋体"/>
                <w:color w:val="000000"/>
                <w:sz w:val="24"/>
                <w:szCs w:val="24"/>
                <w:lang w:val="zh-CN"/>
              </w:rPr>
            </w:pPr>
            <w:r>
              <w:rPr>
                <w:rFonts w:hint="eastAsia" w:ascii="宋体" w:hAnsi="宋体" w:cs="Arial"/>
                <w:sz w:val="24"/>
                <w:szCs w:val="24"/>
              </w:rPr>
              <w:t>所投产品的制造商具备医疗器械质量管理体系认证、环境管理体系认证，投标文件中提供证书扫描件并加盖单位公章。</w:t>
            </w:r>
          </w:p>
        </w:tc>
        <w:tc>
          <w:tcPr>
            <w:tcW w:w="1041" w:type="dxa"/>
            <w:tcBorders>
              <w:top w:val="single" w:color="auto" w:sz="8" w:space="0"/>
              <w:left w:val="nil"/>
              <w:bottom w:val="single" w:color="auto" w:sz="8" w:space="0"/>
              <w:right w:val="single" w:color="auto" w:sz="8" w:space="0"/>
            </w:tcBorders>
            <w:vAlign w:val="center"/>
          </w:tcPr>
          <w:p w14:paraId="39B5DDDF">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0338A819">
            <w:pPr>
              <w:widowControl/>
              <w:jc w:val="left"/>
              <w:rPr>
                <w:rFonts w:ascii="宋体" w:cs="宋体"/>
                <w:color w:val="000000"/>
                <w:kern w:val="0"/>
                <w:sz w:val="24"/>
                <w:szCs w:val="24"/>
              </w:rPr>
            </w:pPr>
          </w:p>
        </w:tc>
      </w:tr>
      <w:tr w14:paraId="7D95E71E">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33DAEC6E">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5D4CFE92">
            <w:pPr>
              <w:tabs>
                <w:tab w:val="left" w:pos="945"/>
                <w:tab w:val="left" w:pos="1155"/>
              </w:tabs>
              <w:spacing w:line="480" w:lineRule="exact"/>
              <w:jc w:val="left"/>
              <w:rPr>
                <w:rFonts w:ascii="宋体" w:cs="宋体"/>
                <w:sz w:val="24"/>
                <w:szCs w:val="24"/>
              </w:rPr>
            </w:pPr>
            <w:r>
              <w:rPr>
                <w:rFonts w:hint="eastAsia" w:ascii="宋体"/>
                <w:sz w:val="24"/>
                <w:szCs w:val="24"/>
              </w:rPr>
              <w:t>投标人所投产品的电声参数，以国家级检验、测试中心出具的《检测报告》为准，投标文件中提供《检测报告》复印件加盖制造商公章，</w:t>
            </w:r>
            <w:r>
              <w:rPr>
                <w:rFonts w:ascii="宋体"/>
                <w:sz w:val="24"/>
                <w:szCs w:val="24"/>
              </w:rPr>
              <w:t>中标后</w:t>
            </w:r>
            <w:r>
              <w:rPr>
                <w:rFonts w:hint="eastAsia" w:ascii="宋体"/>
                <w:sz w:val="24"/>
                <w:szCs w:val="24"/>
              </w:rPr>
              <w:t>须</w:t>
            </w:r>
            <w:r>
              <w:rPr>
                <w:rFonts w:ascii="宋体"/>
                <w:sz w:val="24"/>
                <w:szCs w:val="24"/>
              </w:rPr>
              <w:t>提供《检测报告》原件</w:t>
            </w:r>
            <w:r>
              <w:rPr>
                <w:rFonts w:hint="eastAsia" w:ascii="宋体"/>
                <w:sz w:val="24"/>
                <w:szCs w:val="24"/>
              </w:rPr>
              <w:t>备查，《检测报告》中不能证明的功能性参数需要提供投标产品验配软件截图作证。</w:t>
            </w:r>
          </w:p>
        </w:tc>
        <w:tc>
          <w:tcPr>
            <w:tcW w:w="1041" w:type="dxa"/>
            <w:tcBorders>
              <w:top w:val="single" w:color="auto" w:sz="8" w:space="0"/>
              <w:left w:val="nil"/>
              <w:bottom w:val="single" w:color="auto" w:sz="8" w:space="0"/>
              <w:right w:val="single" w:color="auto" w:sz="8" w:space="0"/>
            </w:tcBorders>
            <w:vAlign w:val="center"/>
          </w:tcPr>
          <w:p w14:paraId="51BE691E">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1D0C7E21">
            <w:pPr>
              <w:widowControl/>
              <w:rPr>
                <w:rFonts w:ascii="宋体" w:cs="宋体"/>
                <w:color w:val="000000"/>
                <w:kern w:val="0"/>
                <w:sz w:val="24"/>
                <w:szCs w:val="24"/>
              </w:rPr>
            </w:pPr>
          </w:p>
        </w:tc>
      </w:tr>
      <w:tr w14:paraId="4BC4E817">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144F972E">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0977A86E">
            <w:pPr>
              <w:spacing w:line="480" w:lineRule="exact"/>
              <w:rPr>
                <w:rFonts w:ascii="宋体"/>
                <w:sz w:val="24"/>
                <w:szCs w:val="24"/>
              </w:rPr>
            </w:pPr>
            <w:r>
              <w:rPr>
                <w:rFonts w:hint="eastAsia" w:ascii="宋体"/>
                <w:sz w:val="24"/>
                <w:szCs w:val="24"/>
              </w:rPr>
              <w:t>所投产品</w:t>
            </w:r>
            <w:r>
              <w:rPr>
                <w:rFonts w:ascii="宋体"/>
                <w:sz w:val="24"/>
                <w:szCs w:val="24"/>
              </w:rPr>
              <w:t>生产厂家的授权书</w:t>
            </w:r>
            <w:r>
              <w:rPr>
                <w:rFonts w:hint="eastAsia" w:ascii="宋体"/>
                <w:sz w:val="24"/>
                <w:szCs w:val="24"/>
              </w:rPr>
              <w:t>。</w:t>
            </w:r>
          </w:p>
        </w:tc>
        <w:tc>
          <w:tcPr>
            <w:tcW w:w="1041" w:type="dxa"/>
            <w:tcBorders>
              <w:top w:val="single" w:color="auto" w:sz="8" w:space="0"/>
              <w:left w:val="nil"/>
              <w:bottom w:val="single" w:color="auto" w:sz="8" w:space="0"/>
              <w:right w:val="single" w:color="auto" w:sz="8" w:space="0"/>
            </w:tcBorders>
            <w:vAlign w:val="center"/>
          </w:tcPr>
          <w:p w14:paraId="0DE901AA">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66922588">
            <w:pPr>
              <w:widowControl/>
              <w:rPr>
                <w:rFonts w:ascii="宋体" w:cs="宋体"/>
                <w:color w:val="000000"/>
                <w:kern w:val="0"/>
                <w:sz w:val="24"/>
                <w:szCs w:val="24"/>
              </w:rPr>
            </w:pPr>
          </w:p>
        </w:tc>
      </w:tr>
      <w:tr w14:paraId="18F81A1C">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0A2C21D9">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4B062BFE">
            <w:pPr>
              <w:spacing w:line="460" w:lineRule="exact"/>
              <w:jc w:val="left"/>
              <w:rPr>
                <w:rFonts w:ascii="宋体" w:hAnsi="宋体" w:cs="Arial"/>
                <w:sz w:val="24"/>
                <w:szCs w:val="24"/>
              </w:rPr>
            </w:pPr>
            <w:r>
              <w:rPr>
                <w:rFonts w:hint="eastAsia" w:ascii="宋体" w:hAnsi="宋体" w:cs="Arial"/>
                <w:sz w:val="24"/>
                <w:szCs w:val="24"/>
              </w:rPr>
              <w:t>投标人须提供2024年1月至今任意一个月缴纳的社会保障资金的有效票据凭证复印件，并加盖投标单位公章</w:t>
            </w:r>
            <w:r>
              <w:rPr>
                <w:rFonts w:hint="eastAsia" w:ascii="宋体" w:hAnsi="宋体"/>
                <w:sz w:val="24"/>
                <w:szCs w:val="24"/>
              </w:rPr>
              <w:t>（依法免缴的，应提供依法免缴的相关证明资料）。</w:t>
            </w:r>
          </w:p>
        </w:tc>
        <w:tc>
          <w:tcPr>
            <w:tcW w:w="1041" w:type="dxa"/>
            <w:tcBorders>
              <w:top w:val="single" w:color="auto" w:sz="8" w:space="0"/>
              <w:left w:val="nil"/>
              <w:bottom w:val="single" w:color="auto" w:sz="8" w:space="0"/>
              <w:right w:val="single" w:color="auto" w:sz="8" w:space="0"/>
            </w:tcBorders>
            <w:vAlign w:val="center"/>
          </w:tcPr>
          <w:p w14:paraId="0962CF47">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764E05F8">
            <w:pPr>
              <w:widowControl/>
              <w:rPr>
                <w:rFonts w:ascii="宋体" w:cs="宋体"/>
                <w:color w:val="000000"/>
                <w:kern w:val="0"/>
                <w:sz w:val="24"/>
                <w:szCs w:val="24"/>
              </w:rPr>
            </w:pPr>
          </w:p>
        </w:tc>
      </w:tr>
      <w:tr w14:paraId="539498EB">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2A157F99">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798D6A45">
            <w:pPr>
              <w:spacing w:line="460" w:lineRule="exact"/>
              <w:jc w:val="left"/>
              <w:rPr>
                <w:rFonts w:ascii="宋体" w:hAnsi="宋体" w:cs="Arial"/>
                <w:sz w:val="24"/>
                <w:szCs w:val="24"/>
              </w:rPr>
            </w:pPr>
            <w:r>
              <w:rPr>
                <w:rFonts w:hint="eastAsia" w:ascii="宋体" w:hAnsi="宋体" w:cs="Arial"/>
                <w:sz w:val="24"/>
                <w:szCs w:val="24"/>
              </w:rPr>
              <w:t>投标人须提供2024年1月至今任意一个月依法纳税纪录有效票据凭证复印件，并加盖投标单位公章</w:t>
            </w:r>
            <w:r>
              <w:rPr>
                <w:rFonts w:hint="eastAsia" w:ascii="宋体" w:hAnsi="宋体"/>
                <w:sz w:val="24"/>
                <w:szCs w:val="24"/>
              </w:rPr>
              <w:t>（依法免缴的，应提供依法免缴的相关证明资料）。</w:t>
            </w:r>
          </w:p>
        </w:tc>
        <w:tc>
          <w:tcPr>
            <w:tcW w:w="1041" w:type="dxa"/>
            <w:tcBorders>
              <w:top w:val="single" w:color="auto" w:sz="8" w:space="0"/>
              <w:left w:val="nil"/>
              <w:bottom w:val="single" w:color="auto" w:sz="8" w:space="0"/>
              <w:right w:val="single" w:color="auto" w:sz="8" w:space="0"/>
            </w:tcBorders>
            <w:vAlign w:val="center"/>
          </w:tcPr>
          <w:p w14:paraId="1F9C3511">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24C268EE">
            <w:pPr>
              <w:widowControl/>
              <w:rPr>
                <w:rFonts w:ascii="宋体" w:cs="宋体"/>
                <w:color w:val="000000"/>
                <w:kern w:val="0"/>
                <w:sz w:val="24"/>
                <w:szCs w:val="24"/>
              </w:rPr>
            </w:pPr>
          </w:p>
        </w:tc>
      </w:tr>
      <w:tr w14:paraId="55DE4FB9">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25027E2A">
            <w:pPr>
              <w:pStyle w:val="12"/>
              <w:widowControl/>
              <w:numPr>
                <w:ilvl w:val="0"/>
                <w:numId w:val="2"/>
              </w:numPr>
              <w:ind w:firstLineChars="0"/>
              <w:jc w:val="center"/>
              <w:rPr>
                <w:rFonts w:ascii="宋体" w:hAnsi="宋体" w:cs="宋体"/>
                <w:kern w:val="0"/>
                <w:sz w:val="24"/>
                <w:szCs w:val="24"/>
              </w:rPr>
            </w:pPr>
          </w:p>
        </w:tc>
        <w:tc>
          <w:tcPr>
            <w:tcW w:w="9278" w:type="dxa"/>
            <w:tcBorders>
              <w:top w:val="single" w:color="auto" w:sz="8" w:space="0"/>
              <w:left w:val="nil"/>
              <w:bottom w:val="single" w:color="auto" w:sz="8" w:space="0"/>
              <w:right w:val="single" w:color="auto" w:sz="8" w:space="0"/>
            </w:tcBorders>
            <w:vAlign w:val="center"/>
          </w:tcPr>
          <w:p w14:paraId="14E791C9">
            <w:pPr>
              <w:spacing w:line="460" w:lineRule="exact"/>
              <w:rPr>
                <w:rFonts w:ascii="宋体" w:cs="宋体"/>
                <w:sz w:val="24"/>
                <w:szCs w:val="24"/>
              </w:rPr>
            </w:pPr>
            <w:r>
              <w:rPr>
                <w:rFonts w:hint="eastAsia" w:ascii="宋体" w:hAnsi="宋体"/>
                <w:sz w:val="24"/>
                <w:szCs w:val="24"/>
              </w:rPr>
              <w:t>投标人提供投标产品制造商的《医疗器械生产许可证》复印件，投标人须提供《医疗器械经营许可证》复印件，投标人须提供所投产品的医疗器械注册证复印件。</w:t>
            </w:r>
          </w:p>
        </w:tc>
        <w:tc>
          <w:tcPr>
            <w:tcW w:w="1041" w:type="dxa"/>
            <w:tcBorders>
              <w:top w:val="single" w:color="auto" w:sz="8" w:space="0"/>
              <w:left w:val="nil"/>
              <w:bottom w:val="single" w:color="auto" w:sz="8" w:space="0"/>
              <w:right w:val="single" w:color="auto" w:sz="8" w:space="0"/>
            </w:tcBorders>
            <w:vAlign w:val="center"/>
          </w:tcPr>
          <w:p w14:paraId="3B479ACF">
            <w:pPr>
              <w:widowControl/>
              <w:jc w:val="center"/>
              <w:rPr>
                <w:rFonts w:ascii="宋体" w:cs="宋体"/>
                <w:kern w:val="0"/>
                <w:sz w:val="24"/>
                <w:szCs w:val="24"/>
              </w:rPr>
            </w:pPr>
            <w:r>
              <w:rPr>
                <w:rFonts w:hint="eastAsia" w:ascii="宋体" w:cs="宋体"/>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0AFF5D7D">
            <w:pPr>
              <w:widowControl/>
              <w:jc w:val="left"/>
              <w:rPr>
                <w:rFonts w:ascii="宋体" w:cs="宋体"/>
                <w:kern w:val="0"/>
                <w:sz w:val="24"/>
                <w:szCs w:val="24"/>
              </w:rPr>
            </w:pPr>
          </w:p>
        </w:tc>
      </w:tr>
      <w:tr w14:paraId="4C708718">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314C368D">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163A5B30">
            <w:pPr>
              <w:spacing w:line="460" w:lineRule="exact"/>
              <w:rPr>
                <w:rFonts w:ascii="宋体" w:cs="宋体"/>
                <w:color w:val="000000"/>
                <w:sz w:val="24"/>
                <w:szCs w:val="24"/>
                <w:lang w:val="zh-CN"/>
              </w:rPr>
            </w:pPr>
            <w:r>
              <w:rPr>
                <w:rFonts w:hint="eastAsia" w:ascii="宋体" w:hAnsi="宋体"/>
                <w:sz w:val="24"/>
                <w:szCs w:val="24"/>
              </w:rPr>
              <w:t>验收及相关费用由投标人负责。</w:t>
            </w:r>
          </w:p>
        </w:tc>
        <w:tc>
          <w:tcPr>
            <w:tcW w:w="1041" w:type="dxa"/>
            <w:tcBorders>
              <w:top w:val="single" w:color="auto" w:sz="8" w:space="0"/>
              <w:left w:val="nil"/>
              <w:bottom w:val="single" w:color="auto" w:sz="8" w:space="0"/>
              <w:right w:val="single" w:color="auto" w:sz="8" w:space="0"/>
            </w:tcBorders>
            <w:vAlign w:val="center"/>
          </w:tcPr>
          <w:p w14:paraId="440A1F88">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2CA46B4D">
            <w:pPr>
              <w:widowControl/>
              <w:rPr>
                <w:rFonts w:ascii="宋体" w:cs="宋体"/>
                <w:color w:val="000000"/>
                <w:kern w:val="0"/>
                <w:sz w:val="24"/>
                <w:szCs w:val="24"/>
              </w:rPr>
            </w:pPr>
          </w:p>
        </w:tc>
      </w:tr>
      <w:tr w14:paraId="167B3BC2">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7450EF58">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5AC39283">
            <w:pPr>
              <w:spacing w:line="460" w:lineRule="exact"/>
              <w:jc w:val="left"/>
              <w:rPr>
                <w:rFonts w:ascii="宋体" w:hAnsi="宋体" w:cs="Arial"/>
                <w:color w:val="FF0000"/>
                <w:sz w:val="24"/>
                <w:szCs w:val="24"/>
              </w:rPr>
            </w:pPr>
            <w:r>
              <w:rPr>
                <w:rFonts w:hint="eastAsia" w:ascii="宋体" w:hAnsi="宋体"/>
                <w:sz w:val="24"/>
                <w:szCs w:val="24"/>
              </w:rPr>
              <w:t>为更好地配合服务，投标供应商在天津市应设有不少于</w:t>
            </w:r>
            <w:r>
              <w:rPr>
                <w:rFonts w:ascii="宋体" w:hAnsi="宋体"/>
                <w:sz w:val="24"/>
                <w:szCs w:val="24"/>
              </w:rPr>
              <w:t>10</w:t>
            </w:r>
            <w:r>
              <w:rPr>
                <w:rFonts w:hint="eastAsia" w:ascii="宋体" w:hAnsi="宋体"/>
                <w:sz w:val="24"/>
                <w:szCs w:val="24"/>
              </w:rPr>
              <w:t>个服务网点，</w:t>
            </w:r>
            <w:r>
              <w:rPr>
                <w:rFonts w:ascii="宋体" w:hAnsi="宋体" w:cs="Arial"/>
                <w:color w:val="FF0000"/>
                <w:sz w:val="24"/>
                <w:szCs w:val="24"/>
              </w:rPr>
              <w:t xml:space="preserve"> </w:t>
            </w:r>
          </w:p>
        </w:tc>
        <w:tc>
          <w:tcPr>
            <w:tcW w:w="1041" w:type="dxa"/>
            <w:tcBorders>
              <w:top w:val="single" w:color="auto" w:sz="8" w:space="0"/>
              <w:left w:val="nil"/>
              <w:bottom w:val="single" w:color="auto" w:sz="8" w:space="0"/>
              <w:right w:val="single" w:color="auto" w:sz="8" w:space="0"/>
            </w:tcBorders>
            <w:vAlign w:val="center"/>
          </w:tcPr>
          <w:p w14:paraId="499A773F">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6795F9EC">
            <w:pPr>
              <w:widowControl/>
              <w:rPr>
                <w:rFonts w:ascii="宋体" w:cs="宋体"/>
                <w:color w:val="000000"/>
                <w:kern w:val="0"/>
                <w:sz w:val="24"/>
                <w:szCs w:val="24"/>
              </w:rPr>
            </w:pPr>
          </w:p>
        </w:tc>
      </w:tr>
      <w:tr w14:paraId="627AADB3">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29B061DE">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3BDC0B51">
            <w:pPr>
              <w:spacing w:line="460" w:lineRule="exact"/>
              <w:jc w:val="left"/>
              <w:rPr>
                <w:rFonts w:ascii="宋体" w:hAnsi="宋体"/>
                <w:sz w:val="24"/>
                <w:szCs w:val="24"/>
              </w:rPr>
            </w:pPr>
            <w:r>
              <w:rPr>
                <w:rFonts w:hint="eastAsia" w:ascii="宋体" w:hAnsi="宋体"/>
                <w:sz w:val="24"/>
                <w:szCs w:val="24"/>
              </w:rPr>
              <w:t>产品生产商需派出在生产厂家工作的专业技术人员配合采购单位进行助听器验配及售后服务工作。</w:t>
            </w:r>
          </w:p>
        </w:tc>
        <w:tc>
          <w:tcPr>
            <w:tcW w:w="1041" w:type="dxa"/>
            <w:tcBorders>
              <w:top w:val="single" w:color="auto" w:sz="8" w:space="0"/>
              <w:left w:val="nil"/>
              <w:bottom w:val="single" w:color="auto" w:sz="8" w:space="0"/>
              <w:right w:val="single" w:color="auto" w:sz="8" w:space="0"/>
            </w:tcBorders>
            <w:vAlign w:val="center"/>
          </w:tcPr>
          <w:p w14:paraId="6B2FF849">
            <w:pPr>
              <w:widowControl/>
              <w:jc w:val="center"/>
              <w:rPr>
                <w:rFonts w:ascii="宋体" w:cs="宋体"/>
                <w:color w:val="000000"/>
                <w:kern w:val="0"/>
                <w:sz w:val="24"/>
                <w:szCs w:val="24"/>
              </w:rPr>
            </w:pPr>
            <w:r>
              <w:rPr>
                <w:rFonts w:hint="eastAsia" w:ascii="宋体" w:cs="宋体"/>
                <w:color w:val="000000"/>
                <w:kern w:val="0"/>
                <w:sz w:val="24"/>
                <w:szCs w:val="24"/>
              </w:rPr>
              <w:t>否</w:t>
            </w:r>
          </w:p>
        </w:tc>
        <w:tc>
          <w:tcPr>
            <w:tcW w:w="3038" w:type="dxa"/>
            <w:tcBorders>
              <w:top w:val="single" w:color="auto" w:sz="8" w:space="0"/>
              <w:left w:val="nil"/>
              <w:bottom w:val="single" w:color="auto" w:sz="8" w:space="0"/>
              <w:right w:val="single" w:color="auto" w:sz="8" w:space="0"/>
            </w:tcBorders>
            <w:vAlign w:val="center"/>
          </w:tcPr>
          <w:p w14:paraId="30960D9A">
            <w:pPr>
              <w:widowControl/>
              <w:rPr>
                <w:rFonts w:ascii="宋体" w:cs="宋体"/>
                <w:color w:val="000000"/>
                <w:kern w:val="0"/>
                <w:sz w:val="24"/>
                <w:szCs w:val="24"/>
              </w:rPr>
            </w:pPr>
          </w:p>
        </w:tc>
      </w:tr>
      <w:tr w14:paraId="455AD891">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5379CFFC">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0451F3C7">
            <w:pPr>
              <w:spacing w:line="460" w:lineRule="exact"/>
              <w:jc w:val="left"/>
              <w:rPr>
                <w:rFonts w:ascii="宋体" w:hAnsi="宋体" w:cs="Arial"/>
                <w:sz w:val="24"/>
                <w:szCs w:val="24"/>
              </w:rPr>
            </w:pPr>
            <w:r>
              <w:rPr>
                <w:rFonts w:hint="eastAsia" w:ascii="宋体" w:hAnsi="宋体"/>
                <w:color w:val="000000"/>
                <w:sz w:val="24"/>
                <w:szCs w:val="24"/>
              </w:rPr>
              <w:t>交货地点：采购人指定地点。</w:t>
            </w:r>
          </w:p>
        </w:tc>
        <w:tc>
          <w:tcPr>
            <w:tcW w:w="1041" w:type="dxa"/>
            <w:tcBorders>
              <w:top w:val="single" w:color="auto" w:sz="8" w:space="0"/>
              <w:left w:val="nil"/>
              <w:bottom w:val="single" w:color="auto" w:sz="8" w:space="0"/>
              <w:right w:val="single" w:color="auto" w:sz="8" w:space="0"/>
            </w:tcBorders>
            <w:vAlign w:val="center"/>
          </w:tcPr>
          <w:p w14:paraId="72BFC208">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40258D7A">
            <w:pPr>
              <w:widowControl/>
              <w:rPr>
                <w:rFonts w:ascii="宋体" w:cs="宋体"/>
                <w:color w:val="000000"/>
                <w:kern w:val="0"/>
                <w:sz w:val="24"/>
                <w:szCs w:val="24"/>
              </w:rPr>
            </w:pPr>
          </w:p>
        </w:tc>
      </w:tr>
      <w:tr w14:paraId="64FA757E">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494DE5C3">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06E04852">
            <w:pPr>
              <w:snapToGrid w:val="0"/>
              <w:spacing w:line="480" w:lineRule="exact"/>
              <w:rPr>
                <w:rFonts w:ascii="宋体"/>
                <w:sz w:val="24"/>
                <w:szCs w:val="24"/>
              </w:rPr>
            </w:pPr>
            <w:r>
              <w:rPr>
                <w:rFonts w:hint="eastAsia" w:ascii="宋体" w:hAnsi="宋体"/>
                <w:color w:val="000000"/>
                <w:sz w:val="24"/>
                <w:szCs w:val="24"/>
              </w:rPr>
              <w:t>法定代表人为同一个人的两个及两个以上法人的母公司、全资子公司及其控股公司，都不得在同一货物招标中同时投标。</w:t>
            </w:r>
          </w:p>
        </w:tc>
        <w:tc>
          <w:tcPr>
            <w:tcW w:w="1041" w:type="dxa"/>
            <w:tcBorders>
              <w:top w:val="single" w:color="auto" w:sz="8" w:space="0"/>
              <w:left w:val="nil"/>
              <w:bottom w:val="single" w:color="auto" w:sz="8" w:space="0"/>
              <w:right w:val="single" w:color="auto" w:sz="8" w:space="0"/>
            </w:tcBorders>
            <w:vAlign w:val="center"/>
          </w:tcPr>
          <w:p w14:paraId="40ED34EC">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5E9F0F13">
            <w:pPr>
              <w:widowControl/>
              <w:rPr>
                <w:rFonts w:ascii="宋体" w:cs="宋体"/>
                <w:color w:val="000000"/>
                <w:kern w:val="0"/>
                <w:sz w:val="24"/>
                <w:szCs w:val="24"/>
              </w:rPr>
            </w:pPr>
          </w:p>
        </w:tc>
      </w:tr>
      <w:tr w14:paraId="29EF10FF">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791BC886">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2F60A425">
            <w:pPr>
              <w:spacing w:line="480" w:lineRule="exact"/>
              <w:ind w:left="-105" w:leftChars="-50" w:firstLine="120" w:firstLineChars="50"/>
              <w:rPr>
                <w:rFonts w:ascii="宋体" w:hAnsi="宋体"/>
                <w:sz w:val="24"/>
                <w:szCs w:val="24"/>
                <w:u w:val="single"/>
              </w:rPr>
            </w:pPr>
            <w:r>
              <w:rPr>
                <w:rFonts w:hint="eastAsia" w:ascii="宋体" w:hAnsi="宋体"/>
                <w:color w:val="000000"/>
                <w:sz w:val="24"/>
                <w:szCs w:val="24"/>
              </w:rPr>
              <w:t>合同包为单一货物，一个制造商对同一品牌同一规格型号的货物，仅能委托一个代理商参加该合同包的投标，否则投标无效。</w:t>
            </w:r>
          </w:p>
        </w:tc>
        <w:tc>
          <w:tcPr>
            <w:tcW w:w="1041" w:type="dxa"/>
            <w:tcBorders>
              <w:top w:val="single" w:color="auto" w:sz="8" w:space="0"/>
              <w:left w:val="nil"/>
              <w:bottom w:val="single" w:color="auto" w:sz="8" w:space="0"/>
              <w:right w:val="single" w:color="auto" w:sz="8" w:space="0"/>
            </w:tcBorders>
            <w:vAlign w:val="center"/>
          </w:tcPr>
          <w:p w14:paraId="7093CC68">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0B5E4BD3">
            <w:pPr>
              <w:widowControl/>
              <w:rPr>
                <w:rFonts w:ascii="宋体" w:cs="宋体"/>
                <w:color w:val="000000"/>
                <w:kern w:val="0"/>
                <w:sz w:val="24"/>
                <w:szCs w:val="24"/>
              </w:rPr>
            </w:pPr>
          </w:p>
        </w:tc>
      </w:tr>
      <w:tr w14:paraId="168ADC2F">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467A41D3">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45E3A7FB">
            <w:pPr>
              <w:spacing w:line="460" w:lineRule="exact"/>
              <w:jc w:val="left"/>
              <w:rPr>
                <w:rFonts w:ascii="宋体" w:hAnsi="宋体" w:cs="Arial"/>
                <w:sz w:val="24"/>
                <w:szCs w:val="24"/>
              </w:rPr>
            </w:pPr>
            <w:r>
              <w:rPr>
                <w:rFonts w:hint="eastAsia" w:ascii="宋体" w:hAnsi="宋体"/>
                <w:color w:val="000000"/>
                <w:sz w:val="24"/>
                <w:szCs w:val="24"/>
              </w:rPr>
              <w:t>投标人的报价应包括所提供产品本身及运输费用、检验、检配费用。</w:t>
            </w:r>
          </w:p>
        </w:tc>
        <w:tc>
          <w:tcPr>
            <w:tcW w:w="1041" w:type="dxa"/>
            <w:tcBorders>
              <w:top w:val="single" w:color="auto" w:sz="8" w:space="0"/>
              <w:left w:val="nil"/>
              <w:bottom w:val="single" w:color="auto" w:sz="8" w:space="0"/>
              <w:right w:val="single" w:color="auto" w:sz="8" w:space="0"/>
            </w:tcBorders>
            <w:vAlign w:val="center"/>
          </w:tcPr>
          <w:p w14:paraId="064979A4">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2DDE1DB2">
            <w:pPr>
              <w:widowControl/>
              <w:rPr>
                <w:rFonts w:ascii="宋体" w:cs="宋体"/>
                <w:color w:val="000000"/>
                <w:kern w:val="0"/>
                <w:sz w:val="24"/>
                <w:szCs w:val="24"/>
              </w:rPr>
            </w:pPr>
          </w:p>
        </w:tc>
      </w:tr>
      <w:tr w14:paraId="3FDC5604">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4190F109">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44BB0978">
            <w:pPr>
              <w:spacing w:line="460" w:lineRule="exact"/>
              <w:jc w:val="left"/>
              <w:rPr>
                <w:rFonts w:ascii="宋体" w:hAnsi="宋体" w:cs="Arial"/>
                <w:sz w:val="24"/>
                <w:szCs w:val="24"/>
              </w:rPr>
            </w:pPr>
            <w:r>
              <w:rPr>
                <w:rFonts w:hint="eastAsia" w:ascii="宋体" w:hAnsi="宋体"/>
                <w:color w:val="000000"/>
                <w:sz w:val="24"/>
                <w:szCs w:val="24"/>
              </w:rPr>
              <w:t>投标人所提供产品须在合同签订之日起30日内到货。（特殊情况以合同为准）</w:t>
            </w:r>
          </w:p>
        </w:tc>
        <w:tc>
          <w:tcPr>
            <w:tcW w:w="1041" w:type="dxa"/>
            <w:tcBorders>
              <w:top w:val="single" w:color="auto" w:sz="8" w:space="0"/>
              <w:left w:val="nil"/>
              <w:bottom w:val="single" w:color="auto" w:sz="8" w:space="0"/>
              <w:right w:val="single" w:color="auto" w:sz="8" w:space="0"/>
            </w:tcBorders>
            <w:vAlign w:val="center"/>
          </w:tcPr>
          <w:p w14:paraId="381B5A04">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4E0F3A2A">
            <w:pPr>
              <w:widowControl/>
              <w:rPr>
                <w:rFonts w:ascii="宋体" w:cs="宋体"/>
                <w:color w:val="000000"/>
                <w:kern w:val="0"/>
                <w:sz w:val="24"/>
                <w:szCs w:val="24"/>
              </w:rPr>
            </w:pPr>
          </w:p>
        </w:tc>
      </w:tr>
      <w:tr w14:paraId="1B45C021">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1F31E340">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081384FA">
            <w:pPr>
              <w:spacing w:line="460" w:lineRule="exact"/>
              <w:jc w:val="left"/>
              <w:rPr>
                <w:rFonts w:ascii="宋体" w:hAnsi="宋体" w:cs="Arial"/>
                <w:sz w:val="24"/>
                <w:szCs w:val="24"/>
              </w:rPr>
            </w:pPr>
            <w:r>
              <w:rPr>
                <w:rFonts w:hint="eastAsia" w:ascii="宋体" w:hAnsi="宋体"/>
                <w:color w:val="000000"/>
                <w:sz w:val="24"/>
                <w:szCs w:val="24"/>
              </w:rPr>
              <w:t>本项目所采购产品为公益助残活动所需物品，在本项目中有助残条款的企业优先考虑。</w:t>
            </w:r>
          </w:p>
        </w:tc>
        <w:tc>
          <w:tcPr>
            <w:tcW w:w="1041" w:type="dxa"/>
            <w:tcBorders>
              <w:top w:val="single" w:color="auto" w:sz="8" w:space="0"/>
              <w:left w:val="nil"/>
              <w:bottom w:val="single" w:color="auto" w:sz="8" w:space="0"/>
              <w:right w:val="single" w:color="auto" w:sz="8" w:space="0"/>
            </w:tcBorders>
            <w:vAlign w:val="center"/>
          </w:tcPr>
          <w:p w14:paraId="24C9D821">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6B63245F">
            <w:pPr>
              <w:widowControl/>
              <w:rPr>
                <w:rFonts w:ascii="宋体" w:cs="宋体"/>
                <w:color w:val="000000"/>
                <w:kern w:val="0"/>
                <w:sz w:val="24"/>
                <w:szCs w:val="24"/>
              </w:rPr>
            </w:pPr>
          </w:p>
        </w:tc>
      </w:tr>
      <w:tr w14:paraId="379034E5">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11B4DD86">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31FA64C3">
            <w:pPr>
              <w:spacing w:line="460" w:lineRule="exact"/>
              <w:jc w:val="left"/>
              <w:rPr>
                <w:rFonts w:ascii="宋体" w:hAnsi="宋体" w:cs="Arial"/>
                <w:sz w:val="24"/>
                <w:szCs w:val="24"/>
              </w:rPr>
            </w:pPr>
            <w:r>
              <w:rPr>
                <w:rFonts w:hint="eastAsia" w:ascii="宋体" w:hAnsi="宋体"/>
                <w:color w:val="000000"/>
                <w:sz w:val="24"/>
                <w:szCs w:val="24"/>
              </w:rPr>
              <w:t>每台助听器免费配置耳模</w:t>
            </w:r>
            <w:r>
              <w:rPr>
                <w:rFonts w:hint="eastAsia" w:ascii="宋体" w:hAnsi="宋体"/>
                <w:sz w:val="24"/>
                <w:szCs w:val="24"/>
              </w:rPr>
              <w:t>和配置干燥盒一个。</w:t>
            </w:r>
          </w:p>
        </w:tc>
        <w:tc>
          <w:tcPr>
            <w:tcW w:w="1041" w:type="dxa"/>
            <w:tcBorders>
              <w:top w:val="single" w:color="auto" w:sz="8" w:space="0"/>
              <w:left w:val="nil"/>
              <w:bottom w:val="single" w:color="auto" w:sz="8" w:space="0"/>
              <w:right w:val="single" w:color="auto" w:sz="8" w:space="0"/>
            </w:tcBorders>
            <w:vAlign w:val="center"/>
          </w:tcPr>
          <w:p w14:paraId="48AF1ABA">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121662F3">
            <w:pPr>
              <w:widowControl/>
              <w:rPr>
                <w:rFonts w:ascii="宋体" w:cs="宋体"/>
                <w:color w:val="000000"/>
                <w:kern w:val="0"/>
                <w:sz w:val="24"/>
                <w:szCs w:val="24"/>
              </w:rPr>
            </w:pPr>
          </w:p>
        </w:tc>
      </w:tr>
      <w:tr w14:paraId="282C7180">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4FA10A78">
            <w:pPr>
              <w:pStyle w:val="12"/>
              <w:widowControl/>
              <w:numPr>
                <w:ilvl w:val="0"/>
                <w:numId w:val="2"/>
              </w:numPr>
              <w:ind w:firstLineChars="0"/>
              <w:jc w:val="center"/>
              <w:rPr>
                <w:rFonts w:ascii="宋体" w:hAnsi="宋体" w:cs="宋体"/>
                <w:color w:val="000000"/>
                <w:kern w:val="0"/>
                <w:sz w:val="24"/>
                <w:szCs w:val="24"/>
              </w:rPr>
            </w:pPr>
          </w:p>
        </w:tc>
        <w:tc>
          <w:tcPr>
            <w:tcW w:w="9278" w:type="dxa"/>
            <w:tcBorders>
              <w:top w:val="single" w:color="auto" w:sz="8" w:space="0"/>
              <w:left w:val="nil"/>
              <w:bottom w:val="single" w:color="auto" w:sz="8" w:space="0"/>
              <w:right w:val="single" w:color="auto" w:sz="8" w:space="0"/>
            </w:tcBorders>
            <w:vAlign w:val="center"/>
          </w:tcPr>
          <w:p w14:paraId="79FD965E">
            <w:pPr>
              <w:widowControl/>
              <w:rPr>
                <w:rFonts w:ascii="宋体" w:cs="宋体"/>
                <w:sz w:val="24"/>
                <w:szCs w:val="24"/>
              </w:rPr>
            </w:pPr>
            <w:r>
              <w:rPr>
                <w:rFonts w:hint="eastAsia" w:ascii="宋体" w:cs="宋体"/>
                <w:sz w:val="24"/>
                <w:szCs w:val="24"/>
              </w:rPr>
              <w:t>投标人要提供营业执照、税务登记证、组织机构代码证或者“三证合一”的营业执照副本复印件加盖公章。</w:t>
            </w:r>
          </w:p>
        </w:tc>
        <w:tc>
          <w:tcPr>
            <w:tcW w:w="1041" w:type="dxa"/>
            <w:tcBorders>
              <w:top w:val="single" w:color="auto" w:sz="8" w:space="0"/>
              <w:left w:val="nil"/>
              <w:bottom w:val="single" w:color="auto" w:sz="8" w:space="0"/>
              <w:right w:val="single" w:color="auto" w:sz="8" w:space="0"/>
            </w:tcBorders>
            <w:vAlign w:val="center"/>
          </w:tcPr>
          <w:p w14:paraId="52D2BA12">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46F4EB5D">
            <w:pPr>
              <w:widowControl/>
              <w:jc w:val="left"/>
              <w:rPr>
                <w:rFonts w:ascii="宋体" w:cs="宋体"/>
                <w:color w:val="000000"/>
                <w:kern w:val="0"/>
                <w:sz w:val="24"/>
                <w:szCs w:val="24"/>
              </w:rPr>
            </w:pPr>
          </w:p>
        </w:tc>
      </w:tr>
      <w:tr w14:paraId="3CD23F58">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0F4E53C9">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6559AA4D">
            <w:pPr>
              <w:spacing w:line="460" w:lineRule="exact"/>
              <w:rPr>
                <w:rFonts w:ascii="宋体" w:cs="宋体"/>
                <w:color w:val="000000"/>
                <w:sz w:val="24"/>
                <w:szCs w:val="24"/>
                <w:lang w:val="zh-CN"/>
              </w:rPr>
            </w:pPr>
            <w:r>
              <w:rPr>
                <w:rFonts w:hint="eastAsia" w:ascii="宋体" w:cs="宋体"/>
                <w:color w:val="000000"/>
                <w:sz w:val="24"/>
                <w:szCs w:val="24"/>
              </w:rPr>
              <w:t>提供投标截止日前 18 个月内会计师事务所出具的审计报告扫描件加盖公章（以出报告日期为准）或提供银行出具的资信证明原件（原件装入正本中）。</w:t>
            </w:r>
          </w:p>
        </w:tc>
        <w:tc>
          <w:tcPr>
            <w:tcW w:w="1041" w:type="dxa"/>
            <w:tcBorders>
              <w:top w:val="single" w:color="auto" w:sz="8" w:space="0"/>
              <w:left w:val="nil"/>
              <w:bottom w:val="single" w:color="auto" w:sz="8" w:space="0"/>
              <w:right w:val="single" w:color="auto" w:sz="8" w:space="0"/>
            </w:tcBorders>
            <w:vAlign w:val="center"/>
          </w:tcPr>
          <w:p w14:paraId="52882B4B">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08E8952A">
            <w:pPr>
              <w:widowControl/>
              <w:jc w:val="left"/>
              <w:rPr>
                <w:rFonts w:ascii="宋体" w:cs="宋体"/>
                <w:color w:val="000000"/>
                <w:kern w:val="0"/>
                <w:sz w:val="24"/>
                <w:szCs w:val="24"/>
              </w:rPr>
            </w:pPr>
          </w:p>
        </w:tc>
      </w:tr>
      <w:tr w14:paraId="40851CFC">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5729C42B">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43A44CA5">
            <w:pPr>
              <w:spacing w:line="460" w:lineRule="exact"/>
              <w:jc w:val="left"/>
              <w:rPr>
                <w:rFonts w:ascii="宋体" w:hAnsi="宋体" w:cs="Arial"/>
                <w:sz w:val="24"/>
                <w:szCs w:val="24"/>
              </w:rPr>
            </w:pPr>
            <w:r>
              <w:rPr>
                <w:rFonts w:hint="eastAsia" w:ascii="宋体" w:cs="宋体"/>
                <w:color w:val="000000"/>
                <w:sz w:val="24"/>
                <w:szCs w:val="24"/>
              </w:rPr>
              <w:t>供应商须为未被列入“信用中国”网（ www.creditchina.gov.cn）记录失信被执行人或重大税收违法案件当事人名单或政府采购严重违法失信行为”记录名单；不处于中国政府采购网（ www.ccgp.gov.cn）政府采购严重违法失信行为信息记录”中的禁止参加政府采购活动期间。</w:t>
            </w:r>
          </w:p>
        </w:tc>
        <w:tc>
          <w:tcPr>
            <w:tcW w:w="1041" w:type="dxa"/>
            <w:tcBorders>
              <w:top w:val="single" w:color="auto" w:sz="8" w:space="0"/>
              <w:left w:val="nil"/>
              <w:bottom w:val="single" w:color="auto" w:sz="8" w:space="0"/>
              <w:right w:val="single" w:color="auto" w:sz="8" w:space="0"/>
            </w:tcBorders>
            <w:vAlign w:val="center"/>
          </w:tcPr>
          <w:p w14:paraId="7A738478">
            <w:pPr>
              <w:widowControl/>
              <w:jc w:val="center"/>
              <w:rPr>
                <w:rFonts w:ascii="宋体" w:cs="宋体"/>
                <w:color w:val="000000"/>
                <w:kern w:val="0"/>
                <w:sz w:val="24"/>
                <w:szCs w:val="24"/>
              </w:rPr>
            </w:pPr>
            <w:r>
              <w:rPr>
                <w:rFonts w:hint="eastAsia" w:ascii="宋体" w:cs="宋体"/>
                <w:color w:val="000000"/>
                <w:kern w:val="0"/>
                <w:sz w:val="24"/>
                <w:szCs w:val="24"/>
              </w:rPr>
              <w:t>是</w:t>
            </w:r>
          </w:p>
        </w:tc>
        <w:tc>
          <w:tcPr>
            <w:tcW w:w="3038" w:type="dxa"/>
            <w:tcBorders>
              <w:top w:val="single" w:color="auto" w:sz="8" w:space="0"/>
              <w:left w:val="nil"/>
              <w:bottom w:val="single" w:color="auto" w:sz="8" w:space="0"/>
              <w:right w:val="single" w:color="auto" w:sz="8" w:space="0"/>
            </w:tcBorders>
            <w:vAlign w:val="center"/>
          </w:tcPr>
          <w:p w14:paraId="5895F381">
            <w:pPr>
              <w:widowControl/>
              <w:rPr>
                <w:rFonts w:ascii="宋体" w:cs="宋体"/>
                <w:color w:val="000000"/>
                <w:kern w:val="0"/>
                <w:sz w:val="24"/>
                <w:szCs w:val="24"/>
              </w:rPr>
            </w:pPr>
          </w:p>
        </w:tc>
      </w:tr>
      <w:tr w14:paraId="6DAA0507">
        <w:tblPrEx>
          <w:tblCellMar>
            <w:top w:w="0" w:type="dxa"/>
            <w:left w:w="108" w:type="dxa"/>
            <w:bottom w:w="0" w:type="dxa"/>
            <w:right w:w="108" w:type="dxa"/>
          </w:tblCellMar>
        </w:tblPrEx>
        <w:trPr>
          <w:trHeight w:val="585" w:hRule="atLeast"/>
          <w:jc w:val="center"/>
        </w:trPr>
        <w:tc>
          <w:tcPr>
            <w:tcW w:w="817" w:type="dxa"/>
            <w:tcBorders>
              <w:top w:val="single" w:color="auto" w:sz="8" w:space="0"/>
              <w:left w:val="single" w:color="auto" w:sz="8" w:space="0"/>
              <w:bottom w:val="single" w:color="auto" w:sz="8" w:space="0"/>
              <w:right w:val="single" w:color="auto" w:sz="8" w:space="0"/>
            </w:tcBorders>
            <w:vAlign w:val="center"/>
          </w:tcPr>
          <w:p w14:paraId="570A3283">
            <w:pPr>
              <w:pStyle w:val="12"/>
              <w:numPr>
                <w:ilvl w:val="0"/>
                <w:numId w:val="2"/>
              </w:numPr>
              <w:spacing w:line="360" w:lineRule="auto"/>
              <w:ind w:firstLineChars="0"/>
              <w:jc w:val="center"/>
              <w:rPr>
                <w:rFonts w:ascii="宋体" w:hAnsi="宋体" w:cs="宋体"/>
                <w:sz w:val="24"/>
                <w:szCs w:val="24"/>
              </w:rPr>
            </w:pPr>
          </w:p>
        </w:tc>
        <w:tc>
          <w:tcPr>
            <w:tcW w:w="9278" w:type="dxa"/>
            <w:tcBorders>
              <w:top w:val="single" w:color="auto" w:sz="8" w:space="0"/>
              <w:left w:val="nil"/>
              <w:bottom w:val="single" w:color="auto" w:sz="8" w:space="0"/>
              <w:right w:val="single" w:color="auto" w:sz="8" w:space="0"/>
            </w:tcBorders>
            <w:vAlign w:val="center"/>
          </w:tcPr>
          <w:p w14:paraId="43FE66B3">
            <w:pPr>
              <w:spacing w:line="460" w:lineRule="exact"/>
              <w:jc w:val="left"/>
              <w:rPr>
                <w:rFonts w:ascii="宋体" w:cs="宋体"/>
                <w:color w:val="000000"/>
                <w:sz w:val="24"/>
                <w:szCs w:val="24"/>
                <w:lang w:val="zh-CN"/>
              </w:rPr>
            </w:pPr>
            <w:r>
              <w:rPr>
                <w:rFonts w:hint="eastAsia" w:ascii="宋体" w:cs="宋体"/>
                <w:color w:val="000000"/>
                <w:sz w:val="24"/>
                <w:szCs w:val="24"/>
              </w:rPr>
              <w:t>制造商具备I</w:t>
            </w:r>
            <w:r>
              <w:rPr>
                <w:rFonts w:ascii="宋体" w:cs="宋体"/>
                <w:color w:val="000000"/>
                <w:sz w:val="24"/>
                <w:szCs w:val="24"/>
              </w:rPr>
              <w:t>SO13485</w:t>
            </w:r>
            <w:r>
              <w:rPr>
                <w:rFonts w:hint="eastAsia" w:ascii="宋体" w:cs="宋体"/>
                <w:color w:val="000000"/>
                <w:sz w:val="24"/>
                <w:szCs w:val="24"/>
                <w:lang w:val="zh-CN"/>
              </w:rPr>
              <w:t>、</w:t>
            </w:r>
            <w:r>
              <w:rPr>
                <w:rFonts w:hint="eastAsia" w:ascii="宋体" w:cs="宋体"/>
                <w:color w:val="000000"/>
                <w:sz w:val="24"/>
                <w:szCs w:val="24"/>
              </w:rPr>
              <w:t>I</w:t>
            </w:r>
            <w:r>
              <w:rPr>
                <w:rFonts w:ascii="宋体" w:cs="宋体"/>
                <w:color w:val="000000"/>
                <w:sz w:val="24"/>
                <w:szCs w:val="24"/>
              </w:rPr>
              <w:t>SO14001</w:t>
            </w:r>
            <w:r>
              <w:rPr>
                <w:rFonts w:hint="eastAsia" w:ascii="宋体" w:cs="宋体"/>
                <w:color w:val="000000"/>
                <w:sz w:val="24"/>
                <w:szCs w:val="24"/>
              </w:rPr>
              <w:t>、C</w:t>
            </w:r>
            <w:r>
              <w:rPr>
                <w:rFonts w:ascii="宋体" w:cs="宋体"/>
                <w:color w:val="000000"/>
                <w:sz w:val="24"/>
                <w:szCs w:val="24"/>
              </w:rPr>
              <w:t>E/</w:t>
            </w:r>
            <w:r>
              <w:rPr>
                <w:rFonts w:hint="eastAsia" w:ascii="宋体" w:cs="宋体"/>
                <w:color w:val="000000"/>
                <w:sz w:val="24"/>
                <w:szCs w:val="24"/>
              </w:rPr>
              <w:t>EC资质认证。</w:t>
            </w:r>
            <w:r>
              <w:rPr>
                <w:rFonts w:hint="eastAsia" w:ascii="宋体" w:cs="宋体"/>
                <w:color w:val="000000"/>
                <w:sz w:val="24"/>
                <w:szCs w:val="24"/>
                <w:lang w:val="zh-CN"/>
              </w:rPr>
              <w:t>（复印件加盖公章）</w:t>
            </w:r>
          </w:p>
        </w:tc>
        <w:tc>
          <w:tcPr>
            <w:tcW w:w="1041" w:type="dxa"/>
            <w:tcBorders>
              <w:top w:val="single" w:color="auto" w:sz="8" w:space="0"/>
              <w:left w:val="nil"/>
              <w:bottom w:val="single" w:color="auto" w:sz="8" w:space="0"/>
              <w:right w:val="single" w:color="auto" w:sz="8" w:space="0"/>
            </w:tcBorders>
            <w:vAlign w:val="center"/>
          </w:tcPr>
          <w:p w14:paraId="18F8BA1C">
            <w:pPr>
              <w:widowControl/>
              <w:jc w:val="center"/>
              <w:rPr>
                <w:rFonts w:ascii="宋体" w:cs="宋体"/>
                <w:color w:val="000000"/>
                <w:kern w:val="0"/>
                <w:sz w:val="24"/>
                <w:szCs w:val="24"/>
              </w:rPr>
            </w:pPr>
            <w:r>
              <w:rPr>
                <w:rFonts w:hint="eastAsia" w:ascii="宋体" w:cs="宋体"/>
                <w:color w:val="000000"/>
                <w:kern w:val="0"/>
                <w:sz w:val="24"/>
                <w:szCs w:val="24"/>
              </w:rPr>
              <w:t>否</w:t>
            </w:r>
          </w:p>
        </w:tc>
        <w:tc>
          <w:tcPr>
            <w:tcW w:w="3038" w:type="dxa"/>
            <w:tcBorders>
              <w:top w:val="single" w:color="auto" w:sz="8" w:space="0"/>
              <w:left w:val="nil"/>
              <w:bottom w:val="single" w:color="auto" w:sz="8" w:space="0"/>
              <w:right w:val="single" w:color="auto" w:sz="8" w:space="0"/>
            </w:tcBorders>
            <w:vAlign w:val="center"/>
          </w:tcPr>
          <w:p w14:paraId="18896F3C">
            <w:pPr>
              <w:rPr>
                <w:rFonts w:ascii="宋体" w:cs="宋体"/>
                <w:color w:val="000000"/>
                <w:kern w:val="0"/>
                <w:sz w:val="24"/>
                <w:szCs w:val="24"/>
              </w:rPr>
            </w:pPr>
          </w:p>
        </w:tc>
      </w:tr>
    </w:tbl>
    <w:p w14:paraId="529B8D2A">
      <w:pPr>
        <w:spacing w:line="460" w:lineRule="exact"/>
        <w:jc w:val="left"/>
        <w:rPr>
          <w:rFonts w:ascii="宋体" w:hAnsi="宋体" w:cs="Arial"/>
          <w:sz w:val="24"/>
        </w:rPr>
      </w:pPr>
      <w:r>
        <w:rPr>
          <w:rFonts w:hint="eastAsia" w:ascii="宋体" w:hAnsi="宋体" w:cs="Arial"/>
          <w:sz w:val="24"/>
        </w:rPr>
        <w:t>三、技术需求</w:t>
      </w:r>
    </w:p>
    <w:tbl>
      <w:tblPr>
        <w:tblStyle w:val="7"/>
        <w:tblW w:w="1422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410"/>
        <w:gridCol w:w="1276"/>
        <w:gridCol w:w="1417"/>
        <w:gridCol w:w="8279"/>
      </w:tblGrid>
      <w:tr w14:paraId="6076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41" w:type="dxa"/>
            <w:shd w:val="clear" w:color="auto" w:fill="auto"/>
            <w:noWrap/>
            <w:vAlign w:val="center"/>
          </w:tcPr>
          <w:p w14:paraId="396B7235">
            <w:pPr>
              <w:spacing w:line="460" w:lineRule="exact"/>
              <w:jc w:val="center"/>
              <w:rPr>
                <w:rFonts w:ascii="宋体" w:hAnsi="宋体" w:cs="宋体"/>
                <w:sz w:val="24"/>
                <w:szCs w:val="24"/>
              </w:rPr>
            </w:pPr>
            <w:r>
              <w:rPr>
                <w:rFonts w:hint="eastAsia" w:ascii="宋体" w:hAnsi="宋体" w:cs="宋体"/>
                <w:sz w:val="24"/>
                <w:szCs w:val="24"/>
              </w:rPr>
              <w:t>序号</w:t>
            </w:r>
          </w:p>
        </w:tc>
        <w:tc>
          <w:tcPr>
            <w:tcW w:w="2410" w:type="dxa"/>
            <w:shd w:val="clear" w:color="auto" w:fill="auto"/>
            <w:noWrap/>
            <w:vAlign w:val="center"/>
          </w:tcPr>
          <w:p w14:paraId="0A61E7E7">
            <w:pPr>
              <w:spacing w:line="460" w:lineRule="exact"/>
              <w:jc w:val="center"/>
              <w:rPr>
                <w:rFonts w:ascii="宋体" w:hAnsi="宋体" w:cs="宋体"/>
                <w:sz w:val="24"/>
                <w:szCs w:val="24"/>
              </w:rPr>
            </w:pPr>
            <w:r>
              <w:rPr>
                <w:rFonts w:hint="eastAsia" w:ascii="宋体" w:hAnsi="宋体" w:cs="宋体"/>
                <w:sz w:val="24"/>
                <w:szCs w:val="24"/>
              </w:rPr>
              <w:t>名称</w:t>
            </w:r>
          </w:p>
        </w:tc>
        <w:tc>
          <w:tcPr>
            <w:tcW w:w="1276" w:type="dxa"/>
            <w:shd w:val="clear" w:color="auto" w:fill="auto"/>
            <w:noWrap/>
            <w:vAlign w:val="center"/>
          </w:tcPr>
          <w:p w14:paraId="1B9CDBB8">
            <w:pPr>
              <w:spacing w:line="460" w:lineRule="exact"/>
              <w:jc w:val="center"/>
              <w:rPr>
                <w:rFonts w:ascii="宋体" w:hAnsi="宋体" w:cs="宋体"/>
                <w:sz w:val="24"/>
                <w:szCs w:val="24"/>
              </w:rPr>
            </w:pPr>
            <w:r>
              <w:rPr>
                <w:rFonts w:hint="eastAsia" w:ascii="宋体" w:hAnsi="宋体" w:cs="宋体"/>
                <w:sz w:val="24"/>
                <w:szCs w:val="24"/>
              </w:rPr>
              <w:t>数量</w:t>
            </w:r>
          </w:p>
        </w:tc>
        <w:tc>
          <w:tcPr>
            <w:tcW w:w="1417" w:type="dxa"/>
            <w:shd w:val="clear" w:color="auto" w:fill="auto"/>
            <w:noWrap/>
            <w:vAlign w:val="center"/>
          </w:tcPr>
          <w:p w14:paraId="05F176BE">
            <w:pPr>
              <w:spacing w:line="460" w:lineRule="exact"/>
              <w:jc w:val="center"/>
              <w:rPr>
                <w:rFonts w:ascii="宋体" w:hAnsi="宋体" w:cs="宋体"/>
                <w:sz w:val="24"/>
                <w:szCs w:val="24"/>
              </w:rPr>
            </w:pPr>
            <w:r>
              <w:rPr>
                <w:rFonts w:hint="eastAsia" w:ascii="宋体" w:hAnsi="宋体" w:cs="宋体"/>
                <w:sz w:val="24"/>
                <w:szCs w:val="24"/>
              </w:rPr>
              <w:t>单位</w:t>
            </w:r>
          </w:p>
        </w:tc>
        <w:tc>
          <w:tcPr>
            <w:tcW w:w="8279" w:type="dxa"/>
            <w:shd w:val="clear" w:color="auto" w:fill="auto"/>
            <w:noWrap/>
            <w:vAlign w:val="center"/>
          </w:tcPr>
          <w:p w14:paraId="5A5B1525">
            <w:pPr>
              <w:spacing w:line="460" w:lineRule="exact"/>
              <w:jc w:val="center"/>
              <w:rPr>
                <w:rFonts w:ascii="宋体" w:hAnsi="宋体" w:cs="宋体"/>
                <w:sz w:val="24"/>
                <w:szCs w:val="24"/>
              </w:rPr>
            </w:pPr>
            <w:r>
              <w:rPr>
                <w:rFonts w:hint="eastAsia" w:ascii="宋体" w:hAnsi="宋体" w:cs="宋体"/>
                <w:sz w:val="24"/>
                <w:szCs w:val="24"/>
              </w:rPr>
              <w:t>技术参数</w:t>
            </w:r>
          </w:p>
        </w:tc>
      </w:tr>
      <w:tr w14:paraId="27F2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1" w:type="dxa"/>
            <w:shd w:val="clear" w:color="000000" w:fill="FFFFFF"/>
            <w:vAlign w:val="center"/>
          </w:tcPr>
          <w:p w14:paraId="0C427224">
            <w:pPr>
              <w:spacing w:line="460" w:lineRule="exact"/>
              <w:jc w:val="center"/>
              <w:rPr>
                <w:rFonts w:ascii="宋体" w:hAnsi="宋体" w:cs="宋体"/>
                <w:sz w:val="24"/>
                <w:szCs w:val="24"/>
              </w:rPr>
            </w:pPr>
            <w:r>
              <w:rPr>
                <w:rFonts w:hint="eastAsia" w:ascii="宋体" w:hAnsi="宋体" w:cs="宋体"/>
                <w:sz w:val="24"/>
                <w:szCs w:val="24"/>
              </w:rPr>
              <w:t>1</w:t>
            </w:r>
          </w:p>
        </w:tc>
        <w:tc>
          <w:tcPr>
            <w:tcW w:w="2410" w:type="dxa"/>
            <w:shd w:val="clear" w:color="000000" w:fill="FFFFFF"/>
            <w:vAlign w:val="center"/>
          </w:tcPr>
          <w:p w14:paraId="672C7EAB">
            <w:pPr>
              <w:adjustRightInd w:val="0"/>
              <w:snapToGrid w:val="0"/>
              <w:spacing w:line="276" w:lineRule="auto"/>
              <w:contextualSpacing/>
              <w:jc w:val="center"/>
              <w:rPr>
                <w:rFonts w:ascii="宋体" w:hAnsi="宋体" w:cs="宋体"/>
                <w:sz w:val="24"/>
                <w:szCs w:val="24"/>
              </w:rPr>
            </w:pPr>
            <w:r>
              <w:rPr>
                <w:rFonts w:hint="eastAsia" w:ascii="宋体" w:hAnsi="宋体" w:cs="宋体"/>
                <w:sz w:val="24"/>
                <w:szCs w:val="24"/>
              </w:rPr>
              <w:t>成人大功率耳背式助听器技术参数</w:t>
            </w:r>
          </w:p>
          <w:p w14:paraId="597B0A7F">
            <w:pPr>
              <w:jc w:val="center"/>
              <w:rPr>
                <w:rFonts w:ascii="宋体" w:hAnsi="宋体" w:cs="宋体"/>
                <w:sz w:val="24"/>
                <w:szCs w:val="24"/>
              </w:rPr>
            </w:pPr>
          </w:p>
        </w:tc>
        <w:tc>
          <w:tcPr>
            <w:tcW w:w="1276" w:type="dxa"/>
            <w:shd w:val="clear" w:color="auto" w:fill="auto"/>
            <w:noWrap/>
            <w:vAlign w:val="center"/>
          </w:tcPr>
          <w:p w14:paraId="345EF463">
            <w:pPr>
              <w:jc w:val="center"/>
              <w:rPr>
                <w:rFonts w:ascii="宋体" w:hAnsi="宋体" w:cs="宋体"/>
                <w:color w:val="FF0000"/>
                <w:sz w:val="24"/>
                <w:szCs w:val="24"/>
              </w:rPr>
            </w:pPr>
            <w:r>
              <w:rPr>
                <w:rFonts w:hint="eastAsia" w:ascii="宋体" w:hAnsi="宋体" w:cs="宋体"/>
                <w:sz w:val="24"/>
                <w:szCs w:val="24"/>
              </w:rPr>
              <w:t>500</w:t>
            </w:r>
          </w:p>
        </w:tc>
        <w:tc>
          <w:tcPr>
            <w:tcW w:w="1417" w:type="dxa"/>
            <w:shd w:val="clear" w:color="auto" w:fill="auto"/>
            <w:noWrap/>
            <w:vAlign w:val="center"/>
          </w:tcPr>
          <w:p w14:paraId="4338EAA8">
            <w:pPr>
              <w:jc w:val="center"/>
              <w:rPr>
                <w:rFonts w:ascii="宋体" w:hAnsi="宋体" w:cs="宋体"/>
                <w:sz w:val="24"/>
                <w:szCs w:val="24"/>
              </w:rPr>
            </w:pPr>
            <w:r>
              <w:rPr>
                <w:rFonts w:hint="eastAsia" w:ascii="宋体" w:hAnsi="宋体" w:cs="宋体"/>
                <w:sz w:val="24"/>
                <w:szCs w:val="24"/>
              </w:rPr>
              <w:t>台</w:t>
            </w:r>
          </w:p>
        </w:tc>
        <w:tc>
          <w:tcPr>
            <w:tcW w:w="8279" w:type="dxa"/>
            <w:shd w:val="clear" w:color="auto" w:fill="auto"/>
            <w:vAlign w:val="center"/>
          </w:tcPr>
          <w:p w14:paraId="014576F0">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1.产品主要技术条件应符合GB/T 14199-2010《电声学 助听器通用规范》国家标准。</w:t>
            </w:r>
          </w:p>
          <w:p w14:paraId="7626F2BA">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2.针对本次招标，GB/T 14199-2010《电声学 助听器通用规范》国家标准中型号、代号、类型及其他不确定的，请按以下要求执行：</w:t>
            </w:r>
          </w:p>
          <w:p w14:paraId="4ECE642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（1）全数字信号处理；</w:t>
            </w:r>
          </w:p>
          <w:p w14:paraId="6A5D1C62">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（2）双麦克风技术；</w:t>
            </w:r>
          </w:p>
          <w:p w14:paraId="358F6CFD">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★（3）调试软件可见可调独立通道数≥16个；</w:t>
            </w:r>
          </w:p>
          <w:p w14:paraId="22DDC6BA">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★（4）自动聆听程序设置≥6个；</w:t>
            </w:r>
          </w:p>
          <w:p w14:paraId="21790748">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 xml:space="preserve"> （5）具有自动声反馈抑制设置功能；</w:t>
            </w:r>
          </w:p>
          <w:p w14:paraId="4512FAB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★（6）饱和声压级≥133dB SPL（IEC118-7 2cc耦合腔）；</w:t>
            </w:r>
          </w:p>
          <w:p w14:paraId="5A036B1D">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★（7）最大满档声增益≥80dB SPL；</w:t>
            </w:r>
          </w:p>
          <w:p w14:paraId="2A34FAF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（8）总谐波失真:≤1.5%；</w:t>
            </w:r>
          </w:p>
          <w:p w14:paraId="739E11A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（9）等效输入噪声≤13dB；</w:t>
            </w:r>
          </w:p>
          <w:p w14:paraId="4D5F21CB">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（10）频率响应范围：至少在200-6000HZ；</w:t>
            </w:r>
          </w:p>
          <w:p w14:paraId="502499ED">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（11）电感灵敏度≥120d</w:t>
            </w:r>
            <w:r>
              <w:rPr>
                <w:rFonts w:ascii="宋体" w:hAnsi="宋体" w:cs="宋体"/>
                <w:kern w:val="0"/>
                <w:sz w:val="24"/>
                <w:szCs w:val="24"/>
              </w:rPr>
              <w:t>B</w:t>
            </w:r>
            <w:r>
              <w:rPr>
                <w:rFonts w:hint="eastAsia" w:ascii="宋体" w:hAnsi="宋体" w:cs="宋体"/>
                <w:kern w:val="0"/>
                <w:sz w:val="24"/>
                <w:szCs w:val="24"/>
              </w:rPr>
              <w:t>；</w:t>
            </w:r>
          </w:p>
          <w:p w14:paraId="03B4228C">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（12）额定电源电流量≤1.59mA；</w:t>
            </w:r>
          </w:p>
          <w:p w14:paraId="556B6F44">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3）具备风噪声抑制功能；</w:t>
            </w:r>
          </w:p>
          <w:p w14:paraId="7A33E29A">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（14）防尘防水级别至少IP68；</w:t>
            </w:r>
          </w:p>
          <w:p w14:paraId="7CB56E6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（15）兼容FM系统；</w:t>
            </w:r>
          </w:p>
          <w:p w14:paraId="695CD51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（16）具备内置测听功能；</w:t>
            </w:r>
          </w:p>
          <w:p w14:paraId="6FCF1A1A">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★（17）具备蓝牙直连功能</w:t>
            </w:r>
          </w:p>
          <w:p w14:paraId="40F9B6F1">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具有</w:t>
            </w:r>
            <w:r>
              <w:rPr>
                <w:rFonts w:hint="eastAsia" w:ascii="宋体" w:hAnsi="宋体" w:cs="宋体"/>
                <w:kern w:val="0"/>
                <w:sz w:val="24"/>
                <w:szCs w:val="24"/>
              </w:rPr>
              <w:t>移频功能</w:t>
            </w:r>
            <w:r>
              <w:rPr>
                <w:rFonts w:ascii="宋体" w:hAnsi="宋体" w:cs="宋体"/>
                <w:kern w:val="0"/>
                <w:sz w:val="24"/>
                <w:szCs w:val="24"/>
              </w:rPr>
              <w:t>；</w:t>
            </w:r>
          </w:p>
          <w:p w14:paraId="67B8951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★（19）启动移频后可调整移频截止频率</w:t>
            </w:r>
            <w:r>
              <w:rPr>
                <w:rFonts w:ascii="宋体" w:hAnsi="宋体" w:cs="宋体"/>
                <w:kern w:val="0"/>
                <w:sz w:val="24"/>
                <w:szCs w:val="24"/>
              </w:rPr>
              <w:t>范围：至少在</w:t>
            </w:r>
            <w:r>
              <w:rPr>
                <w:rFonts w:hint="eastAsia" w:ascii="宋体" w:hAnsi="宋体" w:cs="宋体"/>
                <w:kern w:val="0"/>
                <w:sz w:val="24"/>
                <w:szCs w:val="24"/>
              </w:rPr>
              <w:t>1500-7</w:t>
            </w:r>
            <w:r>
              <w:rPr>
                <w:rFonts w:ascii="宋体" w:hAnsi="宋体" w:cs="宋体"/>
                <w:kern w:val="0"/>
                <w:sz w:val="24"/>
                <w:szCs w:val="24"/>
              </w:rPr>
              <w:t>5</w:t>
            </w:r>
            <w:r>
              <w:rPr>
                <w:rFonts w:hint="eastAsia" w:ascii="宋体" w:hAnsi="宋体" w:cs="宋体"/>
                <w:kern w:val="0"/>
                <w:sz w:val="24"/>
                <w:szCs w:val="24"/>
              </w:rPr>
              <w:t>00Hz</w:t>
            </w:r>
            <w:r>
              <w:rPr>
                <w:rFonts w:ascii="宋体" w:hAnsi="宋体" w:cs="宋体"/>
                <w:kern w:val="0"/>
                <w:sz w:val="24"/>
                <w:szCs w:val="24"/>
              </w:rPr>
              <w:t>；</w:t>
            </w:r>
          </w:p>
          <w:p w14:paraId="155C1F1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（20）具备双耳同步功能；</w:t>
            </w:r>
          </w:p>
          <w:p w14:paraId="0D18521D">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（21）具备Noahlink无线编程功能；</w:t>
            </w:r>
          </w:p>
          <w:p w14:paraId="43302C9E">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（22）含中文言语处理公式；</w:t>
            </w:r>
          </w:p>
          <w:p w14:paraId="06191D0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（23）可选验配公式≥5个；</w:t>
            </w:r>
          </w:p>
          <w:p w14:paraId="6FCB2793">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★(24)具备Noah系统下编程及患者管理功能（Noah软件截屏佐证）；</w:t>
            </w:r>
          </w:p>
          <w:p w14:paraId="2C7F0F8E">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（25）低电压及程序提示功能；</w:t>
            </w:r>
          </w:p>
          <w:p w14:paraId="004C7C90">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（26）具备数据记录与解析功能；</w:t>
            </w:r>
          </w:p>
          <w:p w14:paraId="6DEE49D4">
            <w:pPr>
              <w:adjustRightInd w:val="0"/>
              <w:snapToGrid w:val="0"/>
              <w:spacing w:line="276" w:lineRule="auto"/>
              <w:contextualSpacing/>
              <w:rPr>
                <w:rFonts w:ascii="宋体" w:hAnsi="宋体" w:cs="宋体"/>
                <w:sz w:val="24"/>
                <w:szCs w:val="24"/>
              </w:rPr>
            </w:pPr>
            <w:r>
              <w:rPr>
                <w:rFonts w:hint="eastAsia" w:ascii="宋体" w:hAnsi="宋体" w:cs="宋体"/>
                <w:kern w:val="0"/>
                <w:sz w:val="24"/>
                <w:szCs w:val="24"/>
              </w:rPr>
              <w:t>以上采购货物的性能和各项指标以国家级检测机构出具的报告、或所投产品验配软件为准，中标后3个工作日之内提供检测报告原件备查，中标后3个工作日之内提供样机备检，否则视为无效投标。</w:t>
            </w:r>
          </w:p>
        </w:tc>
      </w:tr>
      <w:tr w14:paraId="5324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41" w:type="dxa"/>
            <w:shd w:val="clear" w:color="000000" w:fill="FFFFFF"/>
            <w:vAlign w:val="center"/>
          </w:tcPr>
          <w:p w14:paraId="1B9DC9AF">
            <w:pPr>
              <w:spacing w:line="460" w:lineRule="exact"/>
              <w:jc w:val="center"/>
              <w:rPr>
                <w:rFonts w:ascii="宋体" w:hAnsi="宋体" w:cs="宋体"/>
                <w:sz w:val="24"/>
                <w:szCs w:val="24"/>
              </w:rPr>
            </w:pPr>
            <w:r>
              <w:rPr>
                <w:rFonts w:hint="eastAsia" w:ascii="宋体" w:hAnsi="宋体" w:cs="宋体"/>
                <w:sz w:val="24"/>
                <w:szCs w:val="24"/>
              </w:rPr>
              <w:t>2</w:t>
            </w:r>
          </w:p>
        </w:tc>
        <w:tc>
          <w:tcPr>
            <w:tcW w:w="2410" w:type="dxa"/>
            <w:shd w:val="clear" w:color="000000" w:fill="FFFFFF"/>
            <w:vAlign w:val="center"/>
          </w:tcPr>
          <w:p w14:paraId="4F8B92FE">
            <w:pPr>
              <w:adjustRightInd w:val="0"/>
              <w:snapToGrid w:val="0"/>
              <w:spacing w:line="276" w:lineRule="auto"/>
              <w:contextualSpacing/>
              <w:jc w:val="center"/>
              <w:rPr>
                <w:rFonts w:ascii="宋体" w:hAnsi="宋体" w:cs="宋体"/>
                <w:sz w:val="24"/>
                <w:szCs w:val="24"/>
              </w:rPr>
            </w:pPr>
            <w:r>
              <w:rPr>
                <w:rFonts w:hint="eastAsia" w:ascii="宋体" w:hAnsi="宋体" w:cs="宋体"/>
                <w:sz w:val="24"/>
                <w:szCs w:val="24"/>
              </w:rPr>
              <w:t>成人特大功率耳背式助听器技术参数</w:t>
            </w:r>
          </w:p>
          <w:p w14:paraId="3C4D8E42">
            <w:pPr>
              <w:jc w:val="center"/>
              <w:rPr>
                <w:rFonts w:ascii="宋体" w:hAnsi="宋体" w:cs="宋体"/>
                <w:sz w:val="24"/>
                <w:szCs w:val="24"/>
              </w:rPr>
            </w:pPr>
          </w:p>
        </w:tc>
        <w:tc>
          <w:tcPr>
            <w:tcW w:w="1276" w:type="dxa"/>
            <w:shd w:val="clear" w:color="auto" w:fill="auto"/>
            <w:noWrap/>
            <w:vAlign w:val="center"/>
          </w:tcPr>
          <w:p w14:paraId="08A5CD30">
            <w:pPr>
              <w:jc w:val="center"/>
              <w:rPr>
                <w:rFonts w:ascii="宋体" w:hAnsi="宋体" w:cs="宋体"/>
                <w:color w:val="FF0000"/>
                <w:sz w:val="24"/>
                <w:szCs w:val="24"/>
              </w:rPr>
            </w:pPr>
            <w:r>
              <w:rPr>
                <w:rFonts w:hint="eastAsia" w:ascii="宋体" w:hAnsi="宋体" w:cs="宋体"/>
                <w:sz w:val="24"/>
                <w:szCs w:val="24"/>
              </w:rPr>
              <w:t>500</w:t>
            </w:r>
          </w:p>
        </w:tc>
        <w:tc>
          <w:tcPr>
            <w:tcW w:w="1417" w:type="dxa"/>
            <w:shd w:val="clear" w:color="auto" w:fill="auto"/>
            <w:noWrap/>
            <w:vAlign w:val="center"/>
          </w:tcPr>
          <w:p w14:paraId="18502D0E">
            <w:pPr>
              <w:jc w:val="center"/>
              <w:rPr>
                <w:rFonts w:ascii="宋体" w:hAnsi="宋体" w:cs="宋体"/>
                <w:sz w:val="24"/>
                <w:szCs w:val="24"/>
              </w:rPr>
            </w:pPr>
            <w:r>
              <w:rPr>
                <w:rFonts w:hint="eastAsia" w:ascii="宋体" w:hAnsi="宋体" w:cs="宋体"/>
                <w:sz w:val="24"/>
                <w:szCs w:val="24"/>
              </w:rPr>
              <w:t>台</w:t>
            </w:r>
          </w:p>
        </w:tc>
        <w:tc>
          <w:tcPr>
            <w:tcW w:w="8279" w:type="dxa"/>
            <w:shd w:val="clear" w:color="000000" w:fill="FFFFFF"/>
            <w:vAlign w:val="center"/>
          </w:tcPr>
          <w:p w14:paraId="00249F62">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1.产品主要技术条件应符合GB/T 14199-2010《电声学 助听器通用规范》国家标准。</w:t>
            </w:r>
          </w:p>
          <w:p w14:paraId="455F9ED1">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2.针对本次招标，GB/T 14199-2010《电声学 助听器通用规范》国家标准中型号、代号、类型及其他不确定的，请按以下要求执行：</w:t>
            </w:r>
          </w:p>
          <w:p w14:paraId="2988C91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（1）全数字信号处理；</w:t>
            </w:r>
          </w:p>
          <w:p w14:paraId="63327579">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（2）双麦克风技术；</w:t>
            </w:r>
          </w:p>
          <w:p w14:paraId="31123F8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★（3）调试软件可见可调独立通道数≥20个；</w:t>
            </w:r>
          </w:p>
          <w:p w14:paraId="634517D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★（4）自动聆听程序设置≥7个；</w:t>
            </w:r>
          </w:p>
          <w:p w14:paraId="0F44E5E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 xml:space="preserve"> （5）具有自动声反馈抑制设置功能；</w:t>
            </w:r>
          </w:p>
          <w:p w14:paraId="34041C62">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★（6）饱和声压级≥1</w:t>
            </w:r>
            <w:r>
              <w:rPr>
                <w:rFonts w:ascii="宋体" w:hAnsi="宋体" w:cs="宋体"/>
                <w:kern w:val="0"/>
                <w:sz w:val="24"/>
                <w:szCs w:val="24"/>
              </w:rPr>
              <w:t>40</w:t>
            </w:r>
            <w:r>
              <w:rPr>
                <w:rFonts w:hint="eastAsia" w:ascii="宋体" w:hAnsi="宋体" w:cs="宋体"/>
                <w:kern w:val="0"/>
                <w:sz w:val="24"/>
                <w:szCs w:val="24"/>
              </w:rPr>
              <w:t>dB SPL（IEC118-7 2cc耦合腔）；</w:t>
            </w:r>
          </w:p>
          <w:p w14:paraId="5F7D57C9">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★（7）最大满档声增益≥</w:t>
            </w:r>
            <w:r>
              <w:rPr>
                <w:rFonts w:ascii="宋体" w:hAnsi="宋体" w:cs="宋体"/>
                <w:kern w:val="0"/>
                <w:sz w:val="24"/>
                <w:szCs w:val="24"/>
              </w:rPr>
              <w:t>80</w:t>
            </w:r>
            <w:r>
              <w:rPr>
                <w:rFonts w:hint="eastAsia" w:ascii="宋体" w:hAnsi="宋体" w:cs="宋体"/>
                <w:kern w:val="0"/>
                <w:sz w:val="24"/>
                <w:szCs w:val="24"/>
              </w:rPr>
              <w:t>dB SPL；</w:t>
            </w:r>
          </w:p>
          <w:p w14:paraId="2E0DBA38">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（8）总谐波失真:≤2%；</w:t>
            </w:r>
          </w:p>
          <w:p w14:paraId="128C086A">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（9）等效输入噪声≤25dB；</w:t>
            </w:r>
          </w:p>
          <w:p w14:paraId="2ED30C12">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（10）频率响应范围：至少在200-4700HZ；</w:t>
            </w:r>
          </w:p>
          <w:p w14:paraId="565D8B40">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（11）电感灵敏度≥110d</w:t>
            </w:r>
            <w:r>
              <w:rPr>
                <w:rFonts w:ascii="宋体" w:hAnsi="宋体" w:cs="宋体"/>
                <w:kern w:val="0"/>
                <w:sz w:val="24"/>
                <w:szCs w:val="24"/>
              </w:rPr>
              <w:t>B</w:t>
            </w:r>
            <w:r>
              <w:rPr>
                <w:rFonts w:hint="eastAsia" w:ascii="宋体" w:hAnsi="宋体" w:cs="宋体"/>
                <w:kern w:val="0"/>
                <w:sz w:val="24"/>
                <w:szCs w:val="24"/>
              </w:rPr>
              <w:t>；</w:t>
            </w:r>
          </w:p>
          <w:p w14:paraId="16F630F9">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（12）额定电源电流量≤2.6mA；</w:t>
            </w:r>
          </w:p>
          <w:p w14:paraId="57B6B24B">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3）具备风噪声抑制功能；</w:t>
            </w:r>
          </w:p>
          <w:p w14:paraId="7F3F2245">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（14）防尘防水级别至少IP68级</w:t>
            </w:r>
          </w:p>
          <w:p w14:paraId="4334CF02">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（15）兼容FM系统；</w:t>
            </w:r>
          </w:p>
          <w:p w14:paraId="72A497A9">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（16）具备内置测听功能；</w:t>
            </w:r>
          </w:p>
          <w:p w14:paraId="12B63DA3">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★（17）</w:t>
            </w:r>
            <w:r>
              <w:rPr>
                <w:rFonts w:ascii="宋体" w:hAnsi="宋体" w:cs="宋体"/>
                <w:kern w:val="0"/>
                <w:sz w:val="24"/>
                <w:szCs w:val="24"/>
              </w:rPr>
              <w:t>具有</w:t>
            </w:r>
            <w:r>
              <w:rPr>
                <w:rFonts w:hint="eastAsia" w:ascii="宋体" w:hAnsi="宋体" w:cs="宋体"/>
                <w:kern w:val="0"/>
                <w:sz w:val="24"/>
                <w:szCs w:val="24"/>
              </w:rPr>
              <w:t>移频功能</w:t>
            </w:r>
            <w:r>
              <w:rPr>
                <w:rFonts w:ascii="宋体" w:hAnsi="宋体" w:cs="宋体"/>
                <w:kern w:val="0"/>
                <w:sz w:val="24"/>
                <w:szCs w:val="24"/>
              </w:rPr>
              <w:t>；</w:t>
            </w:r>
          </w:p>
          <w:p w14:paraId="2F31AC1C">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★（18）启动移频后可调整移频截止频率</w:t>
            </w:r>
            <w:r>
              <w:rPr>
                <w:rFonts w:ascii="宋体" w:hAnsi="宋体" w:cs="宋体"/>
                <w:kern w:val="0"/>
                <w:sz w:val="24"/>
                <w:szCs w:val="24"/>
              </w:rPr>
              <w:t>范围：至少在</w:t>
            </w:r>
            <w:r>
              <w:rPr>
                <w:rFonts w:hint="eastAsia" w:ascii="宋体" w:hAnsi="宋体" w:cs="宋体"/>
                <w:kern w:val="0"/>
                <w:sz w:val="24"/>
                <w:szCs w:val="24"/>
              </w:rPr>
              <w:t>800-7</w:t>
            </w:r>
            <w:r>
              <w:rPr>
                <w:rFonts w:ascii="宋体" w:hAnsi="宋体" w:cs="宋体"/>
                <w:kern w:val="0"/>
                <w:sz w:val="24"/>
                <w:szCs w:val="24"/>
              </w:rPr>
              <w:t>5</w:t>
            </w:r>
            <w:r>
              <w:rPr>
                <w:rFonts w:hint="eastAsia" w:ascii="宋体" w:hAnsi="宋体" w:cs="宋体"/>
                <w:kern w:val="0"/>
                <w:sz w:val="24"/>
                <w:szCs w:val="24"/>
              </w:rPr>
              <w:t>00Hz</w:t>
            </w:r>
            <w:r>
              <w:rPr>
                <w:rFonts w:ascii="宋体" w:hAnsi="宋体" w:cs="宋体"/>
                <w:kern w:val="0"/>
                <w:sz w:val="24"/>
                <w:szCs w:val="24"/>
              </w:rPr>
              <w:t>；</w:t>
            </w:r>
          </w:p>
          <w:p w14:paraId="4BA991C3">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★（19）具备蓝牙直连功能；</w:t>
            </w:r>
          </w:p>
          <w:p w14:paraId="29CE4BB0">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（20）具备耳鸣管理功能；</w:t>
            </w:r>
          </w:p>
          <w:p w14:paraId="11AB3F1C">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（21）可选验配公式≥5个；</w:t>
            </w:r>
          </w:p>
          <w:p w14:paraId="407FD6BE">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（22）含中文言语处理公式；</w:t>
            </w:r>
          </w:p>
          <w:p w14:paraId="76ECFDF6">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★（23）支持手机app调整助听器；</w:t>
            </w:r>
          </w:p>
          <w:p w14:paraId="44BB6EA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★（24）支持远程验配助听器；</w:t>
            </w:r>
          </w:p>
          <w:p w14:paraId="3F8EB3DC">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★(25)具备Noah系统下编程及患者管理功能。</w:t>
            </w:r>
          </w:p>
          <w:p w14:paraId="6779CA73">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（26）低电压及程序提示功能</w:t>
            </w:r>
          </w:p>
          <w:p w14:paraId="031C627F">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（27）具备音量调节器和程序调节器</w:t>
            </w:r>
          </w:p>
          <w:p w14:paraId="3A0145E9">
            <w:pPr>
              <w:adjustRightInd w:val="0"/>
              <w:snapToGrid w:val="0"/>
              <w:spacing w:line="276" w:lineRule="auto"/>
              <w:contextualSpacing/>
              <w:rPr>
                <w:rFonts w:ascii="宋体" w:hAnsi="宋体" w:cs="宋体"/>
                <w:kern w:val="0"/>
                <w:sz w:val="24"/>
                <w:szCs w:val="24"/>
              </w:rPr>
            </w:pPr>
            <w:r>
              <w:rPr>
                <w:rFonts w:hint="eastAsia" w:ascii="宋体" w:hAnsi="宋体" w:cs="宋体"/>
                <w:kern w:val="0"/>
                <w:sz w:val="24"/>
                <w:szCs w:val="24"/>
              </w:rPr>
              <w:t>（28）具备Noahlink无线编程功能</w:t>
            </w:r>
          </w:p>
          <w:p w14:paraId="51CB5BFE">
            <w:pPr>
              <w:adjustRightInd w:val="0"/>
              <w:snapToGrid w:val="0"/>
              <w:spacing w:line="276" w:lineRule="auto"/>
              <w:contextualSpacing/>
              <w:rPr>
                <w:rFonts w:ascii="宋体" w:hAnsi="宋体" w:cs="宋体"/>
                <w:sz w:val="24"/>
                <w:szCs w:val="24"/>
              </w:rPr>
            </w:pPr>
            <w:r>
              <w:rPr>
                <w:rFonts w:hint="eastAsia" w:ascii="宋体" w:hAnsi="宋体" w:cs="宋体"/>
                <w:kern w:val="0"/>
                <w:sz w:val="24"/>
                <w:szCs w:val="24"/>
              </w:rPr>
              <w:t>以上采购货物的性能和各项指标以国家级检测机构出具的报告、或所投产品验配软件为准，中标后3个工作日之内提供检测报告原件备查，中标后3个工作日之内提供样机备检，否则视为无效投标。</w:t>
            </w:r>
          </w:p>
        </w:tc>
      </w:tr>
    </w:tbl>
    <w:p w14:paraId="74580995">
      <w:pPr>
        <w:spacing w:line="460" w:lineRule="exact"/>
        <w:jc w:val="left"/>
        <w:rPr>
          <w:rFonts w:ascii="宋体" w:hAnsi="宋体" w:cs="宋体"/>
          <w:sz w:val="24"/>
          <w:szCs w:val="2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977CD"/>
    <w:multiLevelType w:val="multilevel"/>
    <w:tmpl w:val="161977CD"/>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1809FE"/>
    <w:multiLevelType w:val="multilevel"/>
    <w:tmpl w:val="1C1809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TUzNTZlMjQ5YTA5NGRiYzdkMGEwYTllZjc1ZTUifQ=="/>
  </w:docVars>
  <w:rsids>
    <w:rsidRoot w:val="4CA9720E"/>
    <w:rsid w:val="00015ABF"/>
    <w:rsid w:val="00016F42"/>
    <w:rsid w:val="00025EE3"/>
    <w:rsid w:val="000613F1"/>
    <w:rsid w:val="00067765"/>
    <w:rsid w:val="0007311A"/>
    <w:rsid w:val="00082369"/>
    <w:rsid w:val="00094922"/>
    <w:rsid w:val="000A3C67"/>
    <w:rsid w:val="000A4F25"/>
    <w:rsid w:val="000A7962"/>
    <w:rsid w:val="000D00C9"/>
    <w:rsid w:val="000D4F76"/>
    <w:rsid w:val="000D6DD0"/>
    <w:rsid w:val="000F0F4A"/>
    <w:rsid w:val="000F3E2A"/>
    <w:rsid w:val="000F3F19"/>
    <w:rsid w:val="00116622"/>
    <w:rsid w:val="001420B8"/>
    <w:rsid w:val="0014220B"/>
    <w:rsid w:val="00146597"/>
    <w:rsid w:val="00162B2B"/>
    <w:rsid w:val="001662CE"/>
    <w:rsid w:val="001753D0"/>
    <w:rsid w:val="001801C1"/>
    <w:rsid w:val="00184620"/>
    <w:rsid w:val="001920A8"/>
    <w:rsid w:val="001E3230"/>
    <w:rsid w:val="001F0678"/>
    <w:rsid w:val="001F3379"/>
    <w:rsid w:val="00206D9C"/>
    <w:rsid w:val="00221D8B"/>
    <w:rsid w:val="002377F6"/>
    <w:rsid w:val="002410A9"/>
    <w:rsid w:val="002464B9"/>
    <w:rsid w:val="00253E16"/>
    <w:rsid w:val="00261D05"/>
    <w:rsid w:val="002A6490"/>
    <w:rsid w:val="002A7EDD"/>
    <w:rsid w:val="002B1532"/>
    <w:rsid w:val="002B4EF4"/>
    <w:rsid w:val="002B5E2E"/>
    <w:rsid w:val="002E2D50"/>
    <w:rsid w:val="002E4CA1"/>
    <w:rsid w:val="002F4839"/>
    <w:rsid w:val="00300CBA"/>
    <w:rsid w:val="00301534"/>
    <w:rsid w:val="00305A3E"/>
    <w:rsid w:val="00334B01"/>
    <w:rsid w:val="00341046"/>
    <w:rsid w:val="0034553D"/>
    <w:rsid w:val="00364ED4"/>
    <w:rsid w:val="00370020"/>
    <w:rsid w:val="00370970"/>
    <w:rsid w:val="00373AFB"/>
    <w:rsid w:val="00377424"/>
    <w:rsid w:val="00381F68"/>
    <w:rsid w:val="00382498"/>
    <w:rsid w:val="003A2EDC"/>
    <w:rsid w:val="003A5307"/>
    <w:rsid w:val="003D4F6A"/>
    <w:rsid w:val="003D6670"/>
    <w:rsid w:val="003E527F"/>
    <w:rsid w:val="003E58B7"/>
    <w:rsid w:val="004045D1"/>
    <w:rsid w:val="00405A27"/>
    <w:rsid w:val="00430331"/>
    <w:rsid w:val="00453A2A"/>
    <w:rsid w:val="004546ED"/>
    <w:rsid w:val="00454717"/>
    <w:rsid w:val="00456FC8"/>
    <w:rsid w:val="00484230"/>
    <w:rsid w:val="0049248F"/>
    <w:rsid w:val="004A4AD6"/>
    <w:rsid w:val="004A7607"/>
    <w:rsid w:val="004D2EAE"/>
    <w:rsid w:val="004E084E"/>
    <w:rsid w:val="004E3343"/>
    <w:rsid w:val="004E55B2"/>
    <w:rsid w:val="00500A7A"/>
    <w:rsid w:val="005334D7"/>
    <w:rsid w:val="00555E39"/>
    <w:rsid w:val="00560AA1"/>
    <w:rsid w:val="005637B1"/>
    <w:rsid w:val="0057229E"/>
    <w:rsid w:val="00575C79"/>
    <w:rsid w:val="00581E6A"/>
    <w:rsid w:val="0059314C"/>
    <w:rsid w:val="005B2552"/>
    <w:rsid w:val="005B5B4C"/>
    <w:rsid w:val="005D2728"/>
    <w:rsid w:val="005E3892"/>
    <w:rsid w:val="00605182"/>
    <w:rsid w:val="00624F47"/>
    <w:rsid w:val="00637466"/>
    <w:rsid w:val="00646EA3"/>
    <w:rsid w:val="00657E38"/>
    <w:rsid w:val="006A72EA"/>
    <w:rsid w:val="006B7908"/>
    <w:rsid w:val="006D5C12"/>
    <w:rsid w:val="006D5F51"/>
    <w:rsid w:val="006F5641"/>
    <w:rsid w:val="007418A6"/>
    <w:rsid w:val="007519C0"/>
    <w:rsid w:val="0076248B"/>
    <w:rsid w:val="00764087"/>
    <w:rsid w:val="00770639"/>
    <w:rsid w:val="00774852"/>
    <w:rsid w:val="0079216B"/>
    <w:rsid w:val="007948CC"/>
    <w:rsid w:val="00795C45"/>
    <w:rsid w:val="00796A90"/>
    <w:rsid w:val="007B1CBE"/>
    <w:rsid w:val="007B5C84"/>
    <w:rsid w:val="007B6B59"/>
    <w:rsid w:val="007D0EB6"/>
    <w:rsid w:val="007D5E0B"/>
    <w:rsid w:val="007E77A0"/>
    <w:rsid w:val="007F27CF"/>
    <w:rsid w:val="007F610D"/>
    <w:rsid w:val="007F7DB0"/>
    <w:rsid w:val="00810694"/>
    <w:rsid w:val="0081414D"/>
    <w:rsid w:val="00840D86"/>
    <w:rsid w:val="00862D32"/>
    <w:rsid w:val="008873E6"/>
    <w:rsid w:val="008A6969"/>
    <w:rsid w:val="008C4619"/>
    <w:rsid w:val="008F27A7"/>
    <w:rsid w:val="008F73D4"/>
    <w:rsid w:val="0090675C"/>
    <w:rsid w:val="00911BEC"/>
    <w:rsid w:val="00916308"/>
    <w:rsid w:val="009236BE"/>
    <w:rsid w:val="009240C4"/>
    <w:rsid w:val="00982493"/>
    <w:rsid w:val="009835AF"/>
    <w:rsid w:val="00991F1D"/>
    <w:rsid w:val="009924E4"/>
    <w:rsid w:val="009C6A00"/>
    <w:rsid w:val="009D1AD0"/>
    <w:rsid w:val="009D6512"/>
    <w:rsid w:val="009E3685"/>
    <w:rsid w:val="009E718A"/>
    <w:rsid w:val="009F0B84"/>
    <w:rsid w:val="009F5542"/>
    <w:rsid w:val="00A045FF"/>
    <w:rsid w:val="00A06A1B"/>
    <w:rsid w:val="00A330B6"/>
    <w:rsid w:val="00A451FD"/>
    <w:rsid w:val="00A56EAF"/>
    <w:rsid w:val="00A57B4E"/>
    <w:rsid w:val="00A748A0"/>
    <w:rsid w:val="00A8070F"/>
    <w:rsid w:val="00A80DD5"/>
    <w:rsid w:val="00AA4CC4"/>
    <w:rsid w:val="00AC0E3D"/>
    <w:rsid w:val="00AE6F6F"/>
    <w:rsid w:val="00B0573A"/>
    <w:rsid w:val="00B106CC"/>
    <w:rsid w:val="00B1567F"/>
    <w:rsid w:val="00B23627"/>
    <w:rsid w:val="00B373D2"/>
    <w:rsid w:val="00B37461"/>
    <w:rsid w:val="00B45754"/>
    <w:rsid w:val="00B52EE8"/>
    <w:rsid w:val="00B70151"/>
    <w:rsid w:val="00B923C6"/>
    <w:rsid w:val="00BB248A"/>
    <w:rsid w:val="00BD29DB"/>
    <w:rsid w:val="00BD6E94"/>
    <w:rsid w:val="00BF1817"/>
    <w:rsid w:val="00C011C2"/>
    <w:rsid w:val="00C07F72"/>
    <w:rsid w:val="00C11E64"/>
    <w:rsid w:val="00C16C1A"/>
    <w:rsid w:val="00C26F8B"/>
    <w:rsid w:val="00C270AD"/>
    <w:rsid w:val="00C66EDE"/>
    <w:rsid w:val="00C67CD8"/>
    <w:rsid w:val="00C71A79"/>
    <w:rsid w:val="00C81CD1"/>
    <w:rsid w:val="00C93FDC"/>
    <w:rsid w:val="00C94474"/>
    <w:rsid w:val="00CB32C5"/>
    <w:rsid w:val="00CC027B"/>
    <w:rsid w:val="00CD6553"/>
    <w:rsid w:val="00CD70A6"/>
    <w:rsid w:val="00CF7D46"/>
    <w:rsid w:val="00D0570F"/>
    <w:rsid w:val="00D06ABF"/>
    <w:rsid w:val="00D152BC"/>
    <w:rsid w:val="00D4595C"/>
    <w:rsid w:val="00D47E68"/>
    <w:rsid w:val="00D53B99"/>
    <w:rsid w:val="00D66ED9"/>
    <w:rsid w:val="00DA3086"/>
    <w:rsid w:val="00DB291B"/>
    <w:rsid w:val="00DC77EA"/>
    <w:rsid w:val="00DF00E2"/>
    <w:rsid w:val="00E13871"/>
    <w:rsid w:val="00E17D93"/>
    <w:rsid w:val="00E449F4"/>
    <w:rsid w:val="00E63F77"/>
    <w:rsid w:val="00E67EF2"/>
    <w:rsid w:val="00E73980"/>
    <w:rsid w:val="00E8209A"/>
    <w:rsid w:val="00EA39E6"/>
    <w:rsid w:val="00EB1A91"/>
    <w:rsid w:val="00EF3EA8"/>
    <w:rsid w:val="00EF62F7"/>
    <w:rsid w:val="00F01247"/>
    <w:rsid w:val="00F04149"/>
    <w:rsid w:val="00F07053"/>
    <w:rsid w:val="00F170E3"/>
    <w:rsid w:val="00F23C68"/>
    <w:rsid w:val="00F26EE3"/>
    <w:rsid w:val="00F27175"/>
    <w:rsid w:val="00F30AB3"/>
    <w:rsid w:val="00F60E27"/>
    <w:rsid w:val="00F668AC"/>
    <w:rsid w:val="00F77A42"/>
    <w:rsid w:val="00FA7D09"/>
    <w:rsid w:val="00FC4C19"/>
    <w:rsid w:val="00FE1CCF"/>
    <w:rsid w:val="00FE6FB2"/>
    <w:rsid w:val="00FF3994"/>
    <w:rsid w:val="00FF4173"/>
    <w:rsid w:val="01A575D1"/>
    <w:rsid w:val="0E016423"/>
    <w:rsid w:val="12224434"/>
    <w:rsid w:val="25256927"/>
    <w:rsid w:val="267E37CC"/>
    <w:rsid w:val="2CBB616C"/>
    <w:rsid w:val="343C4101"/>
    <w:rsid w:val="34824787"/>
    <w:rsid w:val="38A8613A"/>
    <w:rsid w:val="3E842F36"/>
    <w:rsid w:val="4CA972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link w:val="5"/>
    <w:qFormat/>
    <w:uiPriority w:val="99"/>
    <w:rPr>
      <w:rFonts w:ascii="Calibri" w:hAnsi="Calibri" w:cs="Calibri"/>
      <w:sz w:val="18"/>
      <w:szCs w:val="18"/>
    </w:rPr>
  </w:style>
  <w:style w:type="character" w:customStyle="1" w:styleId="11">
    <w:name w:val="页脚 Char"/>
    <w:link w:val="4"/>
    <w:qFormat/>
    <w:uiPriority w:val="99"/>
    <w:rPr>
      <w:rFonts w:ascii="Calibri" w:hAnsi="Calibri" w:cs="Calibri"/>
      <w:sz w:val="18"/>
      <w:szCs w:val="18"/>
    </w:rPr>
  </w:style>
  <w:style w:type="paragraph" w:styleId="12">
    <w:name w:val="List Paragraph"/>
    <w:basedOn w:val="1"/>
    <w:autoRedefine/>
    <w:qFormat/>
    <w:uiPriority w:val="34"/>
    <w:pPr>
      <w:ind w:firstLine="420" w:firstLineChars="200"/>
    </w:pPr>
  </w:style>
  <w:style w:type="character" w:customStyle="1" w:styleId="13">
    <w:name w:val="批注文字 Char"/>
    <w:basedOn w:val="8"/>
    <w:link w:val="2"/>
    <w:semiHidden/>
    <w:qFormat/>
    <w:uiPriority w:val="99"/>
    <w:rPr>
      <w:rFonts w:ascii="Calibri" w:hAnsi="Calibri" w:cs="Calibri"/>
      <w:kern w:val="2"/>
      <w:sz w:val="21"/>
      <w:szCs w:val="21"/>
    </w:rPr>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11E6-CD57-41C3-900C-EADD23D1F8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2191</Words>
  <Characters>2488</Characters>
  <Lines>19</Lines>
  <Paragraphs>5</Paragraphs>
  <TotalTime>4</TotalTime>
  <ScaleCrop>false</ScaleCrop>
  <LinksUpToDate>false</LinksUpToDate>
  <CharactersWithSpaces>2509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2026-03-26T06:27:00Z</dcterms:created>
  <dc:creator>Administrator</dc:creator>
  <cp:lastModifiedBy>Lin</cp:lastModifiedBy>
  <dcterms:modified xsi:type="dcterms:W3CDTF">2026-05-26T08:38:41Z</dcterms:modified>
  <dc:title>项目需求书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3DA685FA4EC34044B141B42F867B7508_13</vt:lpwstr>
  </property>
  <property fmtid="{D5CDD505-2E9C-101B-9397-08002B2CF9AE}" pid="4" name="KSOTemplateDocerSaveRecord">
    <vt:lpwstr>eyJoZGlkIjoiZGIzNzA1N2ZlZDBlYzE4MDY3NjcxMTBlNGM1MmY2NTkiLCJ1c2VySWQiOiIzNzMwNzM2NDcifQ==</vt:lpwstr>
  </property>
</Properties>
</file>